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71D21D6A" w:rsidR="003A7765" w:rsidRDefault="00BE723B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#15</w:t>
      </w:r>
      <w:r w:rsidR="0027008B">
        <w:rPr>
          <w:rFonts w:eastAsia="Arial Unicode MS" w:cs="Arial"/>
          <w:bCs/>
          <w:sz w:val="24"/>
        </w:rPr>
        <w:t>6</w:t>
      </w:r>
      <w:r>
        <w:rPr>
          <w:rFonts w:eastAsia="Arial Unicode MS" w:cs="Arial"/>
          <w:bCs/>
          <w:sz w:val="24"/>
        </w:rPr>
        <w:t>E e-meeting</w:t>
      </w:r>
      <w:r w:rsidR="003A7765">
        <w:rPr>
          <w:rFonts w:cs="Arial"/>
          <w:bCs/>
          <w:sz w:val="24"/>
        </w:rPr>
        <w:tab/>
      </w:r>
      <w:r w:rsidR="00B87757" w:rsidRPr="00B87757">
        <w:rPr>
          <w:rFonts w:cs="Arial"/>
          <w:bCs/>
          <w:sz w:val="24"/>
        </w:rPr>
        <w:t>S2-2</w:t>
      </w:r>
      <w:r w:rsidR="0093271F">
        <w:rPr>
          <w:rFonts w:cs="Arial"/>
          <w:bCs/>
          <w:sz w:val="24"/>
        </w:rPr>
        <w:t>304093</w:t>
      </w:r>
    </w:p>
    <w:p w14:paraId="5F7ACE9B" w14:textId="70308549" w:rsidR="003A7765" w:rsidRPr="000652EF" w:rsidRDefault="00AA31F5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 w:rsidRPr="00880B08">
        <w:rPr>
          <w:rFonts w:eastAsia="Arial Unicode MS" w:cs="Arial"/>
          <w:bCs/>
          <w:sz w:val="24"/>
        </w:rPr>
        <w:t xml:space="preserve">Elbonia, </w:t>
      </w:r>
      <w:r w:rsidR="0027008B">
        <w:rPr>
          <w:rFonts w:eastAsia="Arial Unicode MS" w:cs="Arial"/>
          <w:bCs/>
          <w:sz w:val="24"/>
        </w:rPr>
        <w:t>Arp</w:t>
      </w:r>
      <w:r>
        <w:rPr>
          <w:rFonts w:eastAsia="Arial Unicode MS" w:cs="Arial"/>
          <w:bCs/>
          <w:sz w:val="24"/>
        </w:rPr>
        <w:t xml:space="preserve"> 1</w:t>
      </w:r>
      <w:r w:rsidR="0027008B">
        <w:rPr>
          <w:rFonts w:eastAsia="Arial Unicode MS" w:cs="Arial"/>
          <w:bCs/>
          <w:sz w:val="24"/>
        </w:rPr>
        <w:t>7</w:t>
      </w:r>
      <w:r>
        <w:rPr>
          <w:rFonts w:eastAsia="Arial Unicode MS" w:cs="Arial"/>
          <w:bCs/>
          <w:sz w:val="24"/>
        </w:rPr>
        <w:t xml:space="preserve"> - </w:t>
      </w:r>
      <w:r w:rsidR="0027008B">
        <w:rPr>
          <w:rFonts w:eastAsia="Arial Unicode MS" w:cs="Arial"/>
          <w:bCs/>
          <w:sz w:val="24"/>
        </w:rPr>
        <w:t>Apr</w:t>
      </w:r>
      <w:r>
        <w:rPr>
          <w:rFonts w:eastAsia="Arial Unicode MS" w:cs="Arial"/>
          <w:bCs/>
          <w:sz w:val="24"/>
        </w:rPr>
        <w:t xml:space="preserve"> </w:t>
      </w:r>
      <w:r w:rsidR="0027008B">
        <w:rPr>
          <w:rFonts w:eastAsia="Arial Unicode MS" w:cs="Arial"/>
          <w:bCs/>
          <w:sz w:val="24"/>
        </w:rPr>
        <w:t>21</w:t>
      </w:r>
      <w:r w:rsidR="003A7765">
        <w:rPr>
          <w:rFonts w:cs="Arial"/>
          <w:bCs/>
          <w:sz w:val="24"/>
        </w:rPr>
        <w:t>, 202</w:t>
      </w:r>
      <w:r w:rsidR="0027008B">
        <w:rPr>
          <w:rFonts w:cs="Arial"/>
          <w:bCs/>
          <w:sz w:val="24"/>
        </w:rPr>
        <w:t>3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106EB953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519F">
        <w:rPr>
          <w:rFonts w:ascii="Arial" w:hAnsi="Arial" w:cs="Arial"/>
          <w:b/>
        </w:rPr>
        <w:t>Ericsson</w:t>
      </w:r>
    </w:p>
    <w:p w14:paraId="3A1AB2AB" w14:textId="5D9B315C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0370" w:rsidRPr="00D60370">
        <w:rPr>
          <w:rFonts w:ascii="Arial" w:hAnsi="Arial" w:cs="Arial"/>
          <w:b/>
        </w:rPr>
        <w:t>Access control of location validity associated with entries of Allowed CAG list</w:t>
      </w:r>
    </w:p>
    <w:p w14:paraId="2D452FCD" w14:textId="409C04FB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80030">
        <w:rPr>
          <w:rFonts w:ascii="Arial" w:hAnsi="Arial" w:cs="Arial"/>
          <w:b/>
        </w:rPr>
        <w:t>Discussion</w:t>
      </w:r>
    </w:p>
    <w:p w14:paraId="5247919B" w14:textId="11D59889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A5E93">
        <w:rPr>
          <w:rFonts w:ascii="Arial" w:hAnsi="Arial" w:cs="Arial"/>
          <w:b/>
        </w:rPr>
        <w:t>9.24</w:t>
      </w:r>
      <w:r w:rsidR="000F09CC">
        <w:rPr>
          <w:rFonts w:ascii="Arial" w:hAnsi="Arial" w:cs="Arial"/>
          <w:b/>
        </w:rPr>
        <w:t>.2</w:t>
      </w:r>
    </w:p>
    <w:p w14:paraId="1EA9C1C0" w14:textId="4EEE0C43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eNPN</w:t>
      </w:r>
      <w:r w:rsidR="000A5E93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A5E93">
        <w:rPr>
          <w:rFonts w:ascii="Arial" w:hAnsi="Arial" w:cs="Arial"/>
          <w:b/>
        </w:rPr>
        <w:t>8</w:t>
      </w:r>
    </w:p>
    <w:p w14:paraId="717A9F70" w14:textId="38094327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396501">
        <w:rPr>
          <w:rFonts w:ascii="Arial" w:hAnsi="Arial" w:cs="Arial"/>
          <w:i/>
        </w:rPr>
        <w:t xml:space="preserve"> </w:t>
      </w:r>
      <w:r w:rsidR="0098209C">
        <w:rPr>
          <w:rFonts w:ascii="Arial" w:hAnsi="Arial" w:cs="Arial"/>
          <w:i/>
        </w:rPr>
        <w:t>This paper</w:t>
      </w:r>
      <w:r w:rsidR="0011605A">
        <w:rPr>
          <w:rFonts w:ascii="Arial" w:hAnsi="Arial" w:cs="Arial"/>
          <w:i/>
        </w:rPr>
        <w:t xml:space="preserve"> discusses </w:t>
      </w:r>
      <w:r w:rsidR="00935797">
        <w:rPr>
          <w:rFonts w:ascii="Arial" w:hAnsi="Arial" w:cs="Arial"/>
          <w:i/>
        </w:rPr>
        <w:t xml:space="preserve">and proposes a way forward for enabling </w:t>
      </w:r>
      <w:r w:rsidR="00935797" w:rsidRPr="00935797">
        <w:rPr>
          <w:rFonts w:ascii="Arial" w:hAnsi="Arial" w:cs="Arial"/>
          <w:i/>
        </w:rPr>
        <w:t>location validity associated with entries of Allowed CAG list</w:t>
      </w:r>
      <w:r w:rsidR="0079770D">
        <w:rPr>
          <w:rFonts w:ascii="Arial" w:hAnsi="Arial" w:cs="Arial"/>
          <w:i/>
        </w:rPr>
        <w:t>.</w:t>
      </w:r>
    </w:p>
    <w:p w14:paraId="2C3AF075" w14:textId="773B0894" w:rsidR="00CE741C" w:rsidRDefault="00CF7FAD" w:rsidP="00CE7FE0">
      <w:pPr>
        <w:pStyle w:val="Heading1"/>
      </w:pPr>
      <w:r>
        <w:t xml:space="preserve">1. </w:t>
      </w:r>
      <w:r w:rsidR="00CE741C">
        <w:t>Discussion</w:t>
      </w:r>
    </w:p>
    <w:p w14:paraId="098811EA" w14:textId="2D9D0DDC" w:rsidR="00B85D94" w:rsidRDefault="004C217C" w:rsidP="002E4B3C">
      <w:r>
        <w:t xml:space="preserve">A </w:t>
      </w:r>
      <w:r w:rsidR="00BA2321">
        <w:t xml:space="preserve">CAG </w:t>
      </w:r>
      <w:r w:rsidR="00C40C0F">
        <w:t>ID</w:t>
      </w:r>
      <w:r w:rsidR="00BA2321">
        <w:t xml:space="preserve"> on the Allowed CAG</w:t>
      </w:r>
      <w:r w:rsidR="0021010F">
        <w:t xml:space="preserve"> list </w:t>
      </w:r>
      <w:r w:rsidR="009E1D19">
        <w:t xml:space="preserve">could </w:t>
      </w:r>
      <w:r>
        <w:t>be</w:t>
      </w:r>
      <w:r w:rsidR="00BA2321">
        <w:t xml:space="preserve"> associated with </w:t>
      </w:r>
      <w:r w:rsidR="0021010F">
        <w:t>location validity</w:t>
      </w:r>
      <w:r w:rsidR="00234B5A">
        <w:t xml:space="preserve">, such as a list of </w:t>
      </w:r>
      <w:r w:rsidR="00D76AF4">
        <w:t>TAI</w:t>
      </w:r>
      <w:r w:rsidR="00FD19A9">
        <w:t>s</w:t>
      </w:r>
      <w:r w:rsidR="009A064F">
        <w:t>.</w:t>
      </w:r>
      <w:r w:rsidR="00B65341">
        <w:t xml:space="preserve"> </w:t>
      </w:r>
      <w:r>
        <w:t>The l</w:t>
      </w:r>
      <w:r w:rsidR="00B65341">
        <w:t xml:space="preserve">ocation validity </w:t>
      </w:r>
      <w:r w:rsidR="009E1D19">
        <w:t xml:space="preserve">then </w:t>
      </w:r>
      <w:r w:rsidR="00B65341">
        <w:t xml:space="preserve">basically implies in which tracking areas the UE is allowed </w:t>
      </w:r>
      <w:r w:rsidR="009E1D19">
        <w:t xml:space="preserve">to use </w:t>
      </w:r>
      <w:r>
        <w:t>this CAG ID.</w:t>
      </w:r>
    </w:p>
    <w:p w14:paraId="49F0532C" w14:textId="05F4211A" w:rsidR="00B459D0" w:rsidRDefault="00B0662F" w:rsidP="002E4B3C">
      <w:r>
        <w:t xml:space="preserve">In the below </w:t>
      </w:r>
      <w:r w:rsidR="00D90903">
        <w:t>setup:</w:t>
      </w:r>
      <w:r>
        <w:t xml:space="preserve"> </w:t>
      </w:r>
    </w:p>
    <w:p w14:paraId="60EDD60E" w14:textId="0D1C02F6" w:rsidR="003750C2" w:rsidRDefault="003750C2" w:rsidP="002E4B3C">
      <w:r>
        <w:t xml:space="preserve">The Allowed </w:t>
      </w:r>
      <w:r w:rsidR="00D34B67">
        <w:t>CAG list for the</w:t>
      </w:r>
      <w:r>
        <w:t xml:space="preserve"> UE</w:t>
      </w:r>
      <w:r w:rsidR="00D34B67">
        <w:t xml:space="preserve"> in the</w:t>
      </w:r>
      <w:r>
        <w:t xml:space="preserve"> subscription data </w:t>
      </w:r>
      <w:r w:rsidR="00D34B67">
        <w:t>is CAG ID 1, associated with TA2.</w:t>
      </w:r>
    </w:p>
    <w:p w14:paraId="5141ECE5" w14:textId="5312EC4A" w:rsidR="00D34B67" w:rsidRPr="00114A0E" w:rsidRDefault="00D34B67" w:rsidP="002E4B3C">
      <w:pPr>
        <w:rPr>
          <w:lang w:val="en-US"/>
        </w:rPr>
      </w:pPr>
      <w:r w:rsidRPr="00114A0E">
        <w:rPr>
          <w:lang w:val="en-US"/>
        </w:rPr>
        <w:t>There are CAG cells in TA1/TA2/TA3</w:t>
      </w:r>
      <w:r w:rsidR="00114A0E" w:rsidRPr="00114A0E">
        <w:rPr>
          <w:lang w:val="en-US"/>
        </w:rPr>
        <w:t xml:space="preserve"> </w:t>
      </w:r>
      <w:r w:rsidRPr="00114A0E">
        <w:rPr>
          <w:lang w:val="en-US"/>
        </w:rPr>
        <w:t>supporting CAG ID 1</w:t>
      </w:r>
      <w:r w:rsidR="00C961F6">
        <w:rPr>
          <w:lang w:val="en-US"/>
        </w:rPr>
        <w:t>, called</w:t>
      </w:r>
      <w:r w:rsidR="00526FBB">
        <w:rPr>
          <w:lang w:val="en-US"/>
        </w:rPr>
        <w:t xml:space="preserve"> “CAG</w:t>
      </w:r>
      <w:r w:rsidR="0051376E">
        <w:rPr>
          <w:lang w:val="en-US"/>
        </w:rPr>
        <w:t>-</w:t>
      </w:r>
      <w:r w:rsidR="00526FBB">
        <w:rPr>
          <w:lang w:val="en-US"/>
        </w:rPr>
        <w:t>1</w:t>
      </w:r>
      <w:r w:rsidR="0051376E">
        <w:rPr>
          <w:lang w:val="en-US"/>
        </w:rPr>
        <w:t>-</w:t>
      </w:r>
      <w:r w:rsidR="00526FBB">
        <w:rPr>
          <w:lang w:val="en-US"/>
        </w:rPr>
        <w:t>cell”</w:t>
      </w:r>
      <w:r w:rsidR="00C961F6">
        <w:rPr>
          <w:lang w:val="en-US"/>
        </w:rPr>
        <w:t xml:space="preserve"> in th</w:t>
      </w:r>
      <w:r w:rsidR="0051376E">
        <w:rPr>
          <w:lang w:val="en-US"/>
        </w:rPr>
        <w:t xml:space="preserve">e </w:t>
      </w:r>
      <w:r w:rsidR="00070B4F">
        <w:rPr>
          <w:lang w:val="en-US"/>
        </w:rPr>
        <w:t>rest</w:t>
      </w:r>
      <w:r w:rsidR="0051376E">
        <w:rPr>
          <w:lang w:val="en-US"/>
        </w:rPr>
        <w:t xml:space="preserve"> of this</w:t>
      </w:r>
      <w:r w:rsidR="00393B83">
        <w:rPr>
          <w:lang w:val="en-US"/>
        </w:rPr>
        <w:t xml:space="preserve"> document.</w:t>
      </w:r>
    </w:p>
    <w:p w14:paraId="0D028BB4" w14:textId="17FFA30F" w:rsidR="00D90903" w:rsidRDefault="00D90903" w:rsidP="002E4B3C">
      <w:r>
        <w:t>The expect</w:t>
      </w:r>
      <w:r w:rsidR="00FF796E">
        <w:t>ed</w:t>
      </w:r>
      <w:r>
        <w:t xml:space="preserve"> behaviour</w:t>
      </w:r>
      <w:r w:rsidR="000D2D38">
        <w:t xml:space="preserve"> </w:t>
      </w:r>
      <w:r w:rsidR="00FA7A37">
        <w:t xml:space="preserve">would be as described </w:t>
      </w:r>
      <w:r w:rsidR="000D2D38">
        <w:t>below</w:t>
      </w:r>
      <w:r>
        <w:t>:</w:t>
      </w:r>
    </w:p>
    <w:p w14:paraId="1285607C" w14:textId="447E32D3" w:rsidR="00F5350F" w:rsidRDefault="00D90903" w:rsidP="009B76DB">
      <w:pPr>
        <w:pStyle w:val="B1"/>
        <w:numPr>
          <w:ilvl w:val="0"/>
          <w:numId w:val="13"/>
        </w:numPr>
      </w:pPr>
      <w:r>
        <w:t xml:space="preserve">The </w:t>
      </w:r>
      <w:r w:rsidR="00F5350F">
        <w:t xml:space="preserve">UE </w:t>
      </w:r>
      <w:r w:rsidR="00FB24F3">
        <w:t xml:space="preserve">is allowed to access </w:t>
      </w:r>
      <w:r w:rsidR="0051376E">
        <w:t>CAG-1-cell</w:t>
      </w:r>
      <w:r w:rsidR="00B04813">
        <w:t xml:space="preserve"> </w:t>
      </w:r>
      <w:r w:rsidR="00FB24F3">
        <w:t>in TA2</w:t>
      </w:r>
      <w:r>
        <w:t>.</w:t>
      </w:r>
    </w:p>
    <w:p w14:paraId="0DEE7D3E" w14:textId="54082E17" w:rsidR="00D90903" w:rsidRDefault="000D0E61" w:rsidP="009B76DB">
      <w:pPr>
        <w:pStyle w:val="B1"/>
        <w:numPr>
          <w:ilvl w:val="0"/>
          <w:numId w:val="13"/>
        </w:numPr>
      </w:pPr>
      <w:r>
        <w:t>The UE is not allowed to access CAG</w:t>
      </w:r>
      <w:r w:rsidR="00B8205E">
        <w:t>-1-cell</w:t>
      </w:r>
      <w:r>
        <w:t xml:space="preserve"> in TA1, neither in TA3.</w:t>
      </w:r>
    </w:p>
    <w:p w14:paraId="53B8D90F" w14:textId="7B32D2BA" w:rsidR="00C13A2E" w:rsidRDefault="003F0E83" w:rsidP="003F0E83">
      <w:pPr>
        <w:jc w:val="center"/>
      </w:pPr>
      <w:r w:rsidRPr="003F0E83">
        <w:rPr>
          <w:noProof/>
        </w:rPr>
        <w:drawing>
          <wp:inline distT="0" distB="0" distL="0" distR="0" wp14:anchorId="67CB29EC" wp14:editId="1A45A6F0">
            <wp:extent cx="4185398" cy="279026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3498" cy="279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EE743" w14:textId="563FF9EE" w:rsidR="00AE0579" w:rsidRDefault="00603C26" w:rsidP="00CD2A5D">
      <w:r>
        <w:t>Similar as what is agreed regarding the time validity condition handling in SA2:</w:t>
      </w:r>
      <w:r w:rsidR="005407F3">
        <w:t xml:space="preserve"> </w:t>
      </w:r>
    </w:p>
    <w:p w14:paraId="4BA97BA3" w14:textId="0D5A394A" w:rsidR="00C13A2E" w:rsidRDefault="002A7A1F" w:rsidP="000516F5">
      <w:pPr>
        <w:pStyle w:val="B1"/>
        <w:numPr>
          <w:ilvl w:val="0"/>
          <w:numId w:val="14"/>
        </w:numPr>
      </w:pPr>
      <w:r>
        <w:t xml:space="preserve">The </w:t>
      </w:r>
      <w:r w:rsidR="006D7194">
        <w:t xml:space="preserve">UE is aware of the </w:t>
      </w:r>
      <w:r w:rsidR="001F2C95">
        <w:t xml:space="preserve">location </w:t>
      </w:r>
      <w:r w:rsidR="006D7194">
        <w:t>validity information.</w:t>
      </w:r>
    </w:p>
    <w:p w14:paraId="20AEB0DC" w14:textId="24CC38B7" w:rsidR="000639DF" w:rsidRDefault="002A7A1F" w:rsidP="000639DF">
      <w:pPr>
        <w:pStyle w:val="B1"/>
        <w:numPr>
          <w:ilvl w:val="0"/>
          <w:numId w:val="14"/>
        </w:numPr>
      </w:pPr>
      <w:r>
        <w:t xml:space="preserve">The </w:t>
      </w:r>
      <w:r w:rsidR="004C786C">
        <w:t>NG-RAN is</w:t>
      </w:r>
      <w:r w:rsidR="006D7194">
        <w:t xml:space="preserve"> not aware of the</w:t>
      </w:r>
      <w:r w:rsidR="001F2C95">
        <w:t xml:space="preserve"> location</w:t>
      </w:r>
      <w:r w:rsidR="006D7194">
        <w:t xml:space="preserve"> validity condition</w:t>
      </w:r>
      <w:r w:rsidR="007268A9">
        <w:t>.</w:t>
      </w:r>
    </w:p>
    <w:p w14:paraId="69D9D229" w14:textId="68FB0844" w:rsidR="00CD2A5D" w:rsidRDefault="00E927AE" w:rsidP="00CD2A5D">
      <w:pPr>
        <w:pStyle w:val="B1"/>
        <w:ind w:left="0" w:firstLine="0"/>
      </w:pPr>
      <w:r>
        <w:t>Two alternatives for AMF to provide Allowed CAG list to NG-RAN:</w:t>
      </w:r>
    </w:p>
    <w:p w14:paraId="15EAFE5A" w14:textId="3DD7AA2D" w:rsidR="009704B7" w:rsidRPr="0064787F" w:rsidRDefault="00E927AE" w:rsidP="00CF192E">
      <w:pPr>
        <w:rPr>
          <w:u w:val="single"/>
        </w:rPr>
      </w:pPr>
      <w:r w:rsidRPr="007337A0">
        <w:rPr>
          <w:b/>
          <w:bCs/>
          <w:u w:val="single"/>
        </w:rPr>
        <w:t>Alternative 1</w:t>
      </w:r>
      <w:r>
        <w:rPr>
          <w:u w:val="single"/>
        </w:rPr>
        <w:t xml:space="preserve">: </w:t>
      </w:r>
      <w:r w:rsidR="006D7194" w:rsidRPr="0064787F">
        <w:rPr>
          <w:u w:val="single"/>
        </w:rPr>
        <w:t>AMF provides CAG IDs in MRL without validity information</w:t>
      </w:r>
      <w:r w:rsidR="00AB38B6" w:rsidRPr="0064787F">
        <w:rPr>
          <w:u w:val="single"/>
        </w:rPr>
        <w:t xml:space="preserve"> to NG-RAN</w:t>
      </w:r>
      <w:r w:rsidR="00CF192E" w:rsidRPr="0064787F">
        <w:rPr>
          <w:u w:val="single"/>
        </w:rPr>
        <w:t xml:space="preserve">, </w:t>
      </w:r>
      <w:r w:rsidR="000A3E1E" w:rsidRPr="0064787F">
        <w:rPr>
          <w:u w:val="single"/>
        </w:rPr>
        <w:t xml:space="preserve">based on the </w:t>
      </w:r>
      <w:r w:rsidR="00EC5D74" w:rsidRPr="0064787F">
        <w:rPr>
          <w:u w:val="single"/>
        </w:rPr>
        <w:t xml:space="preserve">UE’s </w:t>
      </w:r>
      <w:r w:rsidR="006B053A" w:rsidRPr="0064787F">
        <w:rPr>
          <w:u w:val="single"/>
        </w:rPr>
        <w:t xml:space="preserve">location </w:t>
      </w:r>
      <w:r w:rsidR="000A3E1E" w:rsidRPr="0064787F">
        <w:rPr>
          <w:u w:val="single"/>
        </w:rPr>
        <w:t>ULI provided by NG-RAN</w:t>
      </w:r>
      <w:r w:rsidR="00A41F0B" w:rsidRPr="0064787F">
        <w:rPr>
          <w:u w:val="single"/>
        </w:rPr>
        <w:t>:</w:t>
      </w:r>
    </w:p>
    <w:p w14:paraId="7D91730E" w14:textId="77777777" w:rsidR="009704B7" w:rsidRDefault="009704B7" w:rsidP="009704B7">
      <w:pPr>
        <w:pStyle w:val="B1"/>
      </w:pPr>
      <w:r>
        <w:t>-</w:t>
      </w:r>
      <w:r>
        <w:tab/>
      </w:r>
      <w:r w:rsidR="00CF192E">
        <w:t xml:space="preserve">If the UE’s current TA </w:t>
      </w:r>
      <w:r w:rsidR="007E191D">
        <w:t xml:space="preserve">is part of the location </w:t>
      </w:r>
      <w:r w:rsidR="00CF192E">
        <w:t>validity, AMF provides the corresponding CAG ID to NG-RAN</w:t>
      </w:r>
      <w:r w:rsidR="007E191D">
        <w:t xml:space="preserve">. </w:t>
      </w:r>
    </w:p>
    <w:p w14:paraId="73536991" w14:textId="71929D94" w:rsidR="006D7194" w:rsidRDefault="009704B7" w:rsidP="009704B7">
      <w:pPr>
        <w:pStyle w:val="B1"/>
      </w:pPr>
      <w:r>
        <w:t>-</w:t>
      </w:r>
      <w:r>
        <w:tab/>
      </w:r>
      <w:r w:rsidR="007E191D">
        <w:t xml:space="preserve">If the UE’s current TA is not part of the location validity, </w:t>
      </w:r>
      <w:r w:rsidR="00CF192E">
        <w:t>AMF does not provide the CAG ID to NG-RAN.</w:t>
      </w:r>
    </w:p>
    <w:p w14:paraId="55CFDE1A" w14:textId="20217DAF" w:rsidR="005D71B9" w:rsidRDefault="007629B1" w:rsidP="002E4B3C">
      <w:r>
        <w:lastRenderedPageBreak/>
        <w:t>For expect</w:t>
      </w:r>
      <w:r w:rsidR="00315388">
        <w:t>ed</w:t>
      </w:r>
      <w:r>
        <w:t xml:space="preserve"> behaviour 1, when UE’s starting point </w:t>
      </w:r>
      <w:r w:rsidR="007D2129">
        <w:t xml:space="preserve">ULI </w:t>
      </w:r>
      <w:r>
        <w:t xml:space="preserve">is outside of the location validity, </w:t>
      </w:r>
      <w:r w:rsidR="007D2129">
        <w:t xml:space="preserve">the </w:t>
      </w:r>
      <w:r>
        <w:t xml:space="preserve">NG-RAN will not get the </w:t>
      </w:r>
      <w:r w:rsidR="00F977B4">
        <w:t>A</w:t>
      </w:r>
      <w:r>
        <w:t>llowed CAG</w:t>
      </w:r>
      <w:r w:rsidR="003E7ECB">
        <w:t xml:space="preserve"> ID</w:t>
      </w:r>
      <w:r>
        <w:t xml:space="preserve">, thus not possible to </w:t>
      </w:r>
      <w:r w:rsidR="004A3873">
        <w:t>trigger</w:t>
      </w:r>
      <w:r>
        <w:t xml:space="preserve"> connected mode mobility </w:t>
      </w:r>
      <w:r w:rsidR="00D37A76">
        <w:t xml:space="preserve">from outside </w:t>
      </w:r>
      <w:r>
        <w:t>into the TAs that is part of the location validity. The UE needs to have the starting point</w:t>
      </w:r>
      <w:r w:rsidR="002D618D">
        <w:t xml:space="preserve"> ULI</w:t>
      </w:r>
      <w:r>
        <w:t xml:space="preserve"> inside the location validity</w:t>
      </w:r>
      <w:r w:rsidR="00006292">
        <w:t xml:space="preserve"> </w:t>
      </w:r>
      <w:r>
        <w:t xml:space="preserve">(e.g. buy the ticket when </w:t>
      </w:r>
      <w:r w:rsidR="007A611F">
        <w:t>inside</w:t>
      </w:r>
      <w:r>
        <w:t xml:space="preserve"> the valid TA</w:t>
      </w:r>
      <w:r w:rsidR="008F387B">
        <w:t xml:space="preserve">s, where the UE is updated by UCU and NG-RAN </w:t>
      </w:r>
      <w:r w:rsidR="007A611F">
        <w:t>is</w:t>
      </w:r>
      <w:r w:rsidR="008F387B">
        <w:t xml:space="preserve"> updated as well via Dow</w:t>
      </w:r>
      <w:r w:rsidR="00006292">
        <w:t>nlink NAS Transport message</w:t>
      </w:r>
      <w:r w:rsidR="007A611F">
        <w:t xml:space="preserve"> regarding Allowed CAG</w:t>
      </w:r>
      <w:r>
        <w:t xml:space="preserve">). Or the UE performs </w:t>
      </w:r>
      <w:r w:rsidR="00006292">
        <w:t>CM-IDLE to CM-CONNECTED transition when entering the valid TAs</w:t>
      </w:r>
      <w:r w:rsidR="007839CC">
        <w:t>.</w:t>
      </w:r>
    </w:p>
    <w:p w14:paraId="1CB04812" w14:textId="7395644A" w:rsidR="002F073B" w:rsidRPr="005C5F5D" w:rsidRDefault="002F073B" w:rsidP="002E4B3C">
      <w:pPr>
        <w:rPr>
          <w:b/>
          <w:bCs/>
        </w:rPr>
      </w:pPr>
      <w:r w:rsidRPr="005C5F5D">
        <w:rPr>
          <w:b/>
          <w:bCs/>
        </w:rPr>
        <w:t>Observation</w:t>
      </w:r>
      <w:r w:rsidR="00521437">
        <w:rPr>
          <w:b/>
          <w:bCs/>
        </w:rPr>
        <w:t xml:space="preserve"> 1</w:t>
      </w:r>
      <w:r w:rsidRPr="005C5F5D">
        <w:rPr>
          <w:b/>
          <w:bCs/>
        </w:rPr>
        <w:t>:</w:t>
      </w:r>
    </w:p>
    <w:p w14:paraId="27E5245A" w14:textId="060B3B3E" w:rsidR="002F073B" w:rsidRPr="009D2C95" w:rsidRDefault="002F073B" w:rsidP="002E4B3C">
      <w:pPr>
        <w:rPr>
          <w:b/>
          <w:bCs/>
        </w:rPr>
      </w:pPr>
      <w:r w:rsidRPr="005C5F5D">
        <w:rPr>
          <w:b/>
          <w:bCs/>
        </w:rPr>
        <w:t xml:space="preserve">The UE </w:t>
      </w:r>
      <w:r w:rsidR="00A710E8">
        <w:rPr>
          <w:b/>
          <w:bCs/>
        </w:rPr>
        <w:t xml:space="preserve">is not able to </w:t>
      </w:r>
      <w:r w:rsidR="00A32045">
        <w:rPr>
          <w:b/>
          <w:bCs/>
        </w:rPr>
        <w:t xml:space="preserve">be </w:t>
      </w:r>
      <w:r w:rsidR="00981B7A">
        <w:rPr>
          <w:b/>
          <w:bCs/>
        </w:rPr>
        <w:t xml:space="preserve">directed by </w:t>
      </w:r>
      <w:r w:rsidR="00C358BB">
        <w:rPr>
          <w:b/>
          <w:bCs/>
        </w:rPr>
        <w:t xml:space="preserve">connected </w:t>
      </w:r>
      <w:r w:rsidR="00A710E8">
        <w:rPr>
          <w:b/>
          <w:bCs/>
        </w:rPr>
        <w:t>mode mobility</w:t>
      </w:r>
      <w:r w:rsidR="00A958A0">
        <w:rPr>
          <w:b/>
          <w:bCs/>
        </w:rPr>
        <w:t xml:space="preserve"> from invalid TA</w:t>
      </w:r>
      <w:r w:rsidR="00A800DF">
        <w:rPr>
          <w:b/>
          <w:bCs/>
        </w:rPr>
        <w:t>s</w:t>
      </w:r>
      <w:r w:rsidR="00A710E8">
        <w:rPr>
          <w:b/>
          <w:bCs/>
        </w:rPr>
        <w:t xml:space="preserve"> into valid TAs</w:t>
      </w:r>
      <w:r w:rsidR="00043734">
        <w:rPr>
          <w:b/>
          <w:bCs/>
        </w:rPr>
        <w:t xml:space="preserve"> in all cases when MRL does not contain the </w:t>
      </w:r>
      <w:r w:rsidR="00862D39">
        <w:rPr>
          <w:b/>
          <w:bCs/>
        </w:rPr>
        <w:t>location validity information</w:t>
      </w:r>
      <w:r w:rsidR="00A710E8">
        <w:rPr>
          <w:b/>
          <w:bCs/>
        </w:rPr>
        <w:t>.</w:t>
      </w:r>
    </w:p>
    <w:p w14:paraId="16F65160" w14:textId="4248540A" w:rsidR="00952646" w:rsidRDefault="004155E6" w:rsidP="002E4B3C">
      <w:r>
        <w:t xml:space="preserve">For expected behaviour 2, </w:t>
      </w:r>
      <w:r w:rsidR="00181B37">
        <w:t>since it is the NG-RAN that performs the CAG access control during CM-CONNECTED mode mobility and transition from RRC-Inactive to RRC-Connected based on the MRL received from AMF, without knowing the location validity condition, the access control done by NG-RAN can only be based on CAG ID.</w:t>
      </w:r>
      <w:r w:rsidR="00654647">
        <w:t xml:space="preserve"> </w:t>
      </w:r>
      <w:r w:rsidR="00181B37">
        <w:t>It means, the NG-RAN in TA2 will allow the UE to connected mode mobility to TA1/TA3, if there are CAG-1-cell in TA1/TA3.</w:t>
      </w:r>
      <w:r w:rsidR="005C2912">
        <w:t xml:space="preserve"> </w:t>
      </w:r>
      <w:r w:rsidR="00CB2443">
        <w:t>But as the UE’s ULI is no longer TA2, the CAG ID 1 will no longer be part of the Allowed CAG list in MRL</w:t>
      </w:r>
      <w:r w:rsidR="0002610D">
        <w:t xml:space="preserve"> </w:t>
      </w:r>
      <w:r w:rsidR="00805367">
        <w:t>(assuming AMF always update</w:t>
      </w:r>
      <w:r w:rsidR="00C610E3">
        <w:t>s</w:t>
      </w:r>
      <w:r w:rsidR="00805367">
        <w:t xml:space="preserve"> NG-RAN </w:t>
      </w:r>
      <w:r w:rsidR="007625A4">
        <w:t xml:space="preserve">with MRL </w:t>
      </w:r>
      <w:r w:rsidR="00805367">
        <w:t>when validity changes)</w:t>
      </w:r>
      <w:r w:rsidR="00CB2443">
        <w:t xml:space="preserve">, so that NG-RAN can take actions only at the next UE connected mode mobility or next transition from RRC-Inactive to RRC-Connected (if </w:t>
      </w:r>
      <w:r w:rsidR="00916338">
        <w:t xml:space="preserve">there is </w:t>
      </w:r>
      <w:r w:rsidR="00CB2443">
        <w:t>any).</w:t>
      </w:r>
    </w:p>
    <w:p w14:paraId="1D425DD8" w14:textId="3B89E982" w:rsidR="00842C65" w:rsidRDefault="005C2912" w:rsidP="00842C65">
      <w:r>
        <w:t xml:space="preserve">In current spec, AMF only performs CAG access control during CM-IDLE to CM-CONNECTED and connected mobility from EPS, so in this case AMF is not able to </w:t>
      </w:r>
      <w:r w:rsidR="009D70E9">
        <w:t>perform</w:t>
      </w:r>
      <w:r w:rsidR="0053596E">
        <w:t xml:space="preserve"> access</w:t>
      </w:r>
      <w:r w:rsidR="009D70E9">
        <w:t xml:space="preserve"> control, due to lack of knowledge of the supported CAG ID in the new </w:t>
      </w:r>
      <w:r w:rsidR="00795351">
        <w:t xml:space="preserve">serving </w:t>
      </w:r>
      <w:r w:rsidR="009D70E9">
        <w:t>cell in TA1/TA3</w:t>
      </w:r>
      <w:r w:rsidR="00FE6CCF">
        <w:t xml:space="preserve"> (the input for AMF to perform CAG </w:t>
      </w:r>
      <w:r w:rsidR="0062442E">
        <w:t xml:space="preserve">access </w:t>
      </w:r>
      <w:r w:rsidR="00FE6CCF">
        <w:t>control in this case is combination of CAG ID and TAI)</w:t>
      </w:r>
      <w:r w:rsidR="009D70E9">
        <w:t>.</w:t>
      </w:r>
      <w:r w:rsidR="00714B18">
        <w:t xml:space="preserve"> </w:t>
      </w:r>
    </w:p>
    <w:p w14:paraId="1616E5BD" w14:textId="29FBA38A" w:rsidR="00842C65" w:rsidRPr="005F0947" w:rsidRDefault="00842C65" w:rsidP="005F0947">
      <w:pPr>
        <w:rPr>
          <w:b/>
          <w:bCs/>
        </w:rPr>
      </w:pPr>
      <w:r w:rsidRPr="005F0947">
        <w:rPr>
          <w:b/>
          <w:bCs/>
        </w:rPr>
        <w:t>Observation</w:t>
      </w:r>
      <w:r w:rsidR="00521437" w:rsidRPr="005F0947">
        <w:rPr>
          <w:b/>
          <w:bCs/>
        </w:rPr>
        <w:t xml:space="preserve"> 2</w:t>
      </w:r>
      <w:r w:rsidRPr="005F0947">
        <w:rPr>
          <w:b/>
          <w:bCs/>
        </w:rPr>
        <w:t>:</w:t>
      </w:r>
    </w:p>
    <w:p w14:paraId="077834F7" w14:textId="740BABD1" w:rsidR="00842C65" w:rsidRPr="005F0947" w:rsidRDefault="00842C65" w:rsidP="005F0947">
      <w:pPr>
        <w:rPr>
          <w:b/>
          <w:bCs/>
        </w:rPr>
      </w:pPr>
      <w:r w:rsidRPr="005F0947">
        <w:rPr>
          <w:b/>
          <w:bCs/>
        </w:rPr>
        <w:t xml:space="preserve">The UE </w:t>
      </w:r>
      <w:r w:rsidR="007224C9">
        <w:rPr>
          <w:b/>
          <w:bCs/>
        </w:rPr>
        <w:t>is</w:t>
      </w:r>
      <w:r w:rsidR="00C61702">
        <w:rPr>
          <w:b/>
          <w:bCs/>
        </w:rPr>
        <w:t xml:space="preserve"> not</w:t>
      </w:r>
      <w:r w:rsidRPr="005F0947">
        <w:rPr>
          <w:b/>
          <w:bCs/>
        </w:rPr>
        <w:t xml:space="preserve"> strictly forbidden</w:t>
      </w:r>
      <w:r w:rsidR="004355D1" w:rsidRPr="005F0947">
        <w:rPr>
          <w:b/>
          <w:bCs/>
        </w:rPr>
        <w:t xml:space="preserve"> when outside the valid TAs</w:t>
      </w:r>
      <w:r w:rsidR="00515B9F">
        <w:rPr>
          <w:b/>
          <w:bCs/>
        </w:rPr>
        <w:t xml:space="preserve"> (</w:t>
      </w:r>
      <w:r w:rsidR="001A504E">
        <w:rPr>
          <w:b/>
          <w:bCs/>
        </w:rPr>
        <w:t>i.e. the UE can</w:t>
      </w:r>
      <w:r w:rsidR="0064316A">
        <w:rPr>
          <w:b/>
          <w:bCs/>
        </w:rPr>
        <w:t xml:space="preserve"> be directed by connected mode to </w:t>
      </w:r>
      <w:r w:rsidR="00414BBA">
        <w:rPr>
          <w:b/>
          <w:bCs/>
        </w:rPr>
        <w:t>the</w:t>
      </w:r>
      <w:r w:rsidR="00263F4D">
        <w:rPr>
          <w:b/>
          <w:bCs/>
        </w:rPr>
        <w:t xml:space="preserve"> CAG cell in a</w:t>
      </w:r>
      <w:r w:rsidR="00FD7800">
        <w:rPr>
          <w:b/>
          <w:bCs/>
        </w:rPr>
        <w:t>n</w:t>
      </w:r>
      <w:r w:rsidR="00263F4D">
        <w:rPr>
          <w:b/>
          <w:bCs/>
        </w:rPr>
        <w:t xml:space="preserve"> </w:t>
      </w:r>
      <w:r w:rsidR="00414BBA">
        <w:rPr>
          <w:b/>
          <w:bCs/>
        </w:rPr>
        <w:t>in</w:t>
      </w:r>
      <w:r w:rsidR="00263F4D">
        <w:rPr>
          <w:b/>
          <w:bCs/>
        </w:rPr>
        <w:t>valid TA</w:t>
      </w:r>
      <w:r w:rsidR="00515B9F">
        <w:rPr>
          <w:b/>
          <w:bCs/>
        </w:rPr>
        <w:t>)</w:t>
      </w:r>
      <w:r w:rsidR="004355D1" w:rsidRPr="005F0947">
        <w:rPr>
          <w:b/>
          <w:bCs/>
        </w:rPr>
        <w:t>.</w:t>
      </w:r>
    </w:p>
    <w:p w14:paraId="24F3D2AD" w14:textId="44F14D43" w:rsidR="00C63764" w:rsidRDefault="00C63764" w:rsidP="002E4B3C">
      <w:r>
        <w:t xml:space="preserve">If </w:t>
      </w:r>
      <w:r w:rsidR="00994DE3">
        <w:t>new function</w:t>
      </w:r>
      <w:r w:rsidR="00D16344">
        <w:t>ality</w:t>
      </w:r>
      <w:r w:rsidR="00994DE3">
        <w:t xml:space="preserve"> is needed on </w:t>
      </w:r>
      <w:r>
        <w:t xml:space="preserve">AMF </w:t>
      </w:r>
      <w:r w:rsidR="00994DE3">
        <w:t xml:space="preserve">to </w:t>
      </w:r>
      <w:r w:rsidR="004B3159">
        <w:t>perform</w:t>
      </w:r>
      <w:r>
        <w:t xml:space="preserve"> CAG access control </w:t>
      </w:r>
      <w:r w:rsidR="004B3159">
        <w:t>when UE is in</w:t>
      </w:r>
      <w:r>
        <w:t xml:space="preserve"> CM-CONNECTED state, there</w:t>
      </w:r>
      <w:r w:rsidR="002E4B3C">
        <w:t xml:space="preserve"> are a few options with/without RAN impact:</w:t>
      </w:r>
    </w:p>
    <w:p w14:paraId="16ED3AF6" w14:textId="088C0E77" w:rsidR="004B3159" w:rsidRDefault="004B3159" w:rsidP="004B3159">
      <w:pPr>
        <w:pStyle w:val="B1"/>
        <w:numPr>
          <w:ilvl w:val="0"/>
          <w:numId w:val="14"/>
        </w:numPr>
      </w:pPr>
      <w:r>
        <w:t xml:space="preserve">AMF </w:t>
      </w:r>
      <w:r w:rsidR="00910C94">
        <w:t xml:space="preserve">simply releases the UE when UE’s ULI is not TA2. There might be </w:t>
      </w:r>
      <w:r w:rsidR="0012243E">
        <w:t xml:space="preserve">unnecessary </w:t>
      </w:r>
      <w:r w:rsidR="00910C94">
        <w:t xml:space="preserve">service interruption if UE is </w:t>
      </w:r>
      <w:r w:rsidR="003E3FBC">
        <w:t>allowed</w:t>
      </w:r>
      <w:r w:rsidR="00910C94">
        <w:t xml:space="preserve"> due to other combination of CAG ID and TA1/TA3. No RAN </w:t>
      </w:r>
      <w:r w:rsidR="003E3FBC">
        <w:t>impacts</w:t>
      </w:r>
      <w:r w:rsidR="00910C94">
        <w:t>.</w:t>
      </w:r>
    </w:p>
    <w:p w14:paraId="78EC8A36" w14:textId="4ECF535E" w:rsidR="00910C94" w:rsidRDefault="00910C94" w:rsidP="004B3159">
      <w:pPr>
        <w:pStyle w:val="B1"/>
        <w:numPr>
          <w:ilvl w:val="0"/>
          <w:numId w:val="14"/>
        </w:numPr>
      </w:pPr>
      <w:r>
        <w:t xml:space="preserve">AMF </w:t>
      </w:r>
      <w:r w:rsidR="00571EF3">
        <w:t>is made aware of the supported CAG ID of the current serving cell</w:t>
      </w:r>
      <w:r w:rsidR="00F93BAC">
        <w:t xml:space="preserve"> by NG-RAN</w:t>
      </w:r>
      <w:r w:rsidR="00D115B5">
        <w:t xml:space="preserve"> when UE is in CM-CONNECTED</w:t>
      </w:r>
      <w:r w:rsidR="00AA3862">
        <w:t xml:space="preserve">, and releases UE if the combination of CAG ID and TAI </w:t>
      </w:r>
      <w:r w:rsidR="00562D14">
        <w:t xml:space="preserve">(of the ULI) </w:t>
      </w:r>
      <w:r w:rsidR="00AA3862">
        <w:t>is not valid</w:t>
      </w:r>
      <w:r w:rsidR="00163849">
        <w:t>. RAN impact is needed.</w:t>
      </w:r>
    </w:p>
    <w:p w14:paraId="1C2F9E92" w14:textId="77777777" w:rsidR="000546B6" w:rsidRDefault="000546B6" w:rsidP="00A67A0D"/>
    <w:p w14:paraId="547EF188" w14:textId="44EEFAD3" w:rsidR="005D71B9" w:rsidRPr="0064787F" w:rsidRDefault="00E927AE" w:rsidP="00A67A0D">
      <w:pPr>
        <w:rPr>
          <w:u w:val="single"/>
        </w:rPr>
      </w:pPr>
      <w:r w:rsidRPr="007337A0">
        <w:rPr>
          <w:b/>
          <w:bCs/>
          <w:u w:val="single"/>
        </w:rPr>
        <w:t xml:space="preserve">Alternative </w:t>
      </w:r>
      <w:r w:rsidR="00154728" w:rsidRPr="007337A0">
        <w:rPr>
          <w:b/>
          <w:bCs/>
          <w:u w:val="single"/>
        </w:rPr>
        <w:t>2</w:t>
      </w:r>
      <w:r w:rsidR="00154728">
        <w:rPr>
          <w:u w:val="single"/>
        </w:rPr>
        <w:t xml:space="preserve">: </w:t>
      </w:r>
      <w:r w:rsidR="005D71B9" w:rsidRPr="0064787F">
        <w:rPr>
          <w:u w:val="single"/>
        </w:rPr>
        <w:t xml:space="preserve">AMF provides CAG IDs in MRL without validity information to NG-RAN, based on the </w:t>
      </w:r>
      <w:r w:rsidR="000C150F" w:rsidRPr="0064787F">
        <w:rPr>
          <w:u w:val="single"/>
        </w:rPr>
        <w:t xml:space="preserve">NG-RAN </w:t>
      </w:r>
      <w:r w:rsidR="005D71B9" w:rsidRPr="0064787F">
        <w:rPr>
          <w:u w:val="single"/>
        </w:rPr>
        <w:t xml:space="preserve">supported TAI </w:t>
      </w:r>
      <w:r w:rsidR="000C150F" w:rsidRPr="0064787F">
        <w:rPr>
          <w:u w:val="single"/>
        </w:rPr>
        <w:t xml:space="preserve">during </w:t>
      </w:r>
      <w:r w:rsidR="005D71B9" w:rsidRPr="0064787F">
        <w:rPr>
          <w:u w:val="single"/>
        </w:rPr>
        <w:t>NG-AP setup</w:t>
      </w:r>
      <w:r w:rsidR="00A41F0B" w:rsidRPr="0064787F">
        <w:rPr>
          <w:u w:val="single"/>
        </w:rPr>
        <w:t>:</w:t>
      </w:r>
    </w:p>
    <w:p w14:paraId="1A24505F" w14:textId="7FA4559D" w:rsidR="005D71B9" w:rsidRDefault="005D71B9" w:rsidP="007447A8">
      <w:pPr>
        <w:pStyle w:val="B1"/>
        <w:numPr>
          <w:ilvl w:val="0"/>
          <w:numId w:val="14"/>
        </w:numPr>
      </w:pPr>
      <w:r>
        <w:t xml:space="preserve">If </w:t>
      </w:r>
      <w:r w:rsidR="004A00AF">
        <w:t xml:space="preserve">the </w:t>
      </w:r>
      <w:r>
        <w:t>NG-RAN supported TA</w:t>
      </w:r>
      <w:r w:rsidR="004A00AF">
        <w:t>s</w:t>
      </w:r>
      <w:r>
        <w:t xml:space="preserve"> </w:t>
      </w:r>
      <w:r w:rsidR="004A00AF">
        <w:t>are</w:t>
      </w:r>
      <w:r>
        <w:t xml:space="preserve"> part of the location validity, AMF provides the corresponding CAG ID to NG-RAN.</w:t>
      </w:r>
    </w:p>
    <w:p w14:paraId="7F85298D" w14:textId="382F4276" w:rsidR="005D71B9" w:rsidRDefault="005D71B9" w:rsidP="007447A8">
      <w:pPr>
        <w:pStyle w:val="B1"/>
        <w:numPr>
          <w:ilvl w:val="0"/>
          <w:numId w:val="14"/>
        </w:numPr>
      </w:pPr>
      <w:r>
        <w:t xml:space="preserve">If </w:t>
      </w:r>
      <w:r w:rsidR="004A00AF">
        <w:t xml:space="preserve">the </w:t>
      </w:r>
      <w:r>
        <w:t>NG-RAN supported TA</w:t>
      </w:r>
      <w:r w:rsidR="004A00AF">
        <w:t>s</w:t>
      </w:r>
      <w:r>
        <w:t xml:space="preserve"> </w:t>
      </w:r>
      <w:r w:rsidR="004A00AF">
        <w:t>are</w:t>
      </w:r>
      <w:r>
        <w:t xml:space="preserve"> not part of the location validity, AMF does not provide the corresponding CAG ID to NG-RAN</w:t>
      </w:r>
      <w:r w:rsidR="00CB6612">
        <w:t>.</w:t>
      </w:r>
    </w:p>
    <w:p w14:paraId="3DF1C5AD" w14:textId="78941B92" w:rsidR="0080313E" w:rsidRDefault="00C76673" w:rsidP="00E806AE">
      <w:r>
        <w:t xml:space="preserve">For expected behaviour 1, </w:t>
      </w:r>
      <w:r w:rsidR="00BC2416">
        <w:t xml:space="preserve">as the NG-RAN may get the correct Allowed CAG list even the UE is not yet inside the valid TAs, </w:t>
      </w:r>
      <w:r w:rsidR="00AD65D4">
        <w:t xml:space="preserve">it is possible to enable </w:t>
      </w:r>
      <w:r w:rsidR="00525884">
        <w:t>the connected mode mobility from invalid TA to valid TA</w:t>
      </w:r>
      <w:r w:rsidR="00AD65D4">
        <w:t>.</w:t>
      </w:r>
      <w:r w:rsidR="00DF0AF7">
        <w:t xml:space="preserve"> But it is not guaranteed, as the UE may start in an invalid TA anyway</w:t>
      </w:r>
      <w:r w:rsidR="00A6394A">
        <w:t>, depends on how the network is deployment and TA is allocated.</w:t>
      </w:r>
      <w:r w:rsidR="000E3B42">
        <w:t xml:space="preserve"> </w:t>
      </w:r>
      <w:r w:rsidR="00B05FA8">
        <w:t xml:space="preserve">On the other hand, the UE </w:t>
      </w:r>
      <w:r w:rsidR="00E20B77">
        <w:t xml:space="preserve">can start to access the CAG cell when located in the invalid TAs. </w:t>
      </w:r>
      <w:r w:rsidR="004A6B9E">
        <w:t>I</w:t>
      </w:r>
      <w:r w:rsidR="000E3B42">
        <w:t>n the VMR use case, if the bus has not yet arrive</w:t>
      </w:r>
      <w:r w:rsidR="009646BE">
        <w:t>d</w:t>
      </w:r>
      <w:r w:rsidR="000E3B42">
        <w:t xml:space="preserve"> the station</w:t>
      </w:r>
      <w:r w:rsidR="007E5D15">
        <w:t xml:space="preserve"> where people get on</w:t>
      </w:r>
      <w:r w:rsidR="000E3B42">
        <w:t xml:space="preserve">, </w:t>
      </w:r>
      <w:r w:rsidR="00E94809">
        <w:t xml:space="preserve">it may not </w:t>
      </w:r>
      <w:r w:rsidR="00B90408">
        <w:t xml:space="preserve">be </w:t>
      </w:r>
      <w:r w:rsidR="00E94809">
        <w:t xml:space="preserve">harm to </w:t>
      </w:r>
      <w:r w:rsidR="007E5D15">
        <w:t>provide</w:t>
      </w:r>
      <w:r w:rsidR="00E94809">
        <w:t xml:space="preserve"> the </w:t>
      </w:r>
      <w:r w:rsidR="005B7599">
        <w:t xml:space="preserve">current serving </w:t>
      </w:r>
      <w:r w:rsidR="00E94809">
        <w:t xml:space="preserve">NG-RAN </w:t>
      </w:r>
      <w:r w:rsidR="007E5D15">
        <w:t xml:space="preserve">already </w:t>
      </w:r>
      <w:r w:rsidR="00191F01">
        <w:t xml:space="preserve">with </w:t>
      </w:r>
      <w:r w:rsidR="007E5D15">
        <w:t>the Allowed CAG list</w:t>
      </w:r>
      <w:r w:rsidR="005617C6">
        <w:t xml:space="preserve">, even the TA of the UE’s ULI is not yet valid, as the </w:t>
      </w:r>
      <w:r w:rsidR="00186877">
        <w:t>target CAG cell is still on the bus not arriving.</w:t>
      </w:r>
      <w:r w:rsidR="005617C6">
        <w:t xml:space="preserve"> </w:t>
      </w:r>
    </w:p>
    <w:p w14:paraId="35F3D80C" w14:textId="40524DC9" w:rsidR="004C0953" w:rsidRDefault="00CC4A35" w:rsidP="00E806AE">
      <w:r>
        <w:t xml:space="preserve">For expected behaviour 2, </w:t>
      </w:r>
      <w:r w:rsidR="00D04101">
        <w:t xml:space="preserve">as the NG-RAN supported TA range </w:t>
      </w:r>
      <w:r w:rsidR="00D02178">
        <w:t xml:space="preserve">may be </w:t>
      </w:r>
      <w:r w:rsidR="004562D5">
        <w:t xml:space="preserve">larger </w:t>
      </w:r>
      <w:r w:rsidR="00D02178">
        <w:t>than the valid TA</w:t>
      </w:r>
      <w:r w:rsidR="00D44090">
        <w:t xml:space="preserve">, the UE may be allowed to continue </w:t>
      </w:r>
      <w:r w:rsidR="00CC4159">
        <w:t xml:space="preserve">the </w:t>
      </w:r>
      <w:r w:rsidR="00D44090">
        <w:t>access in a larger area</w:t>
      </w:r>
      <w:r w:rsidR="00807644">
        <w:t>,</w:t>
      </w:r>
      <w:r w:rsidR="00D44090">
        <w:t xml:space="preserve"> comparing to the case AMF provides </w:t>
      </w:r>
      <w:r w:rsidR="00BB5CA8">
        <w:t>MRL based on UE’s ULI</w:t>
      </w:r>
      <w:r w:rsidR="003E5CC1">
        <w:t xml:space="preserve"> </w:t>
      </w:r>
      <w:r w:rsidR="00FE7BA1">
        <w:t>with functions in current spec.</w:t>
      </w:r>
    </w:p>
    <w:p w14:paraId="0261321B" w14:textId="60E6C68F" w:rsidR="00A6394A" w:rsidRDefault="003E5CC1" w:rsidP="00E806AE">
      <w:r>
        <w:t xml:space="preserve">The new function on AMF (as described earlier) </w:t>
      </w:r>
      <w:r w:rsidR="000237D7">
        <w:t xml:space="preserve">can still be equally used </w:t>
      </w:r>
      <w:r w:rsidR="00DB13E9">
        <w:t xml:space="preserve">compared </w:t>
      </w:r>
      <w:r w:rsidR="000237D7">
        <w:t xml:space="preserve">to the case </w:t>
      </w:r>
      <w:r w:rsidR="00DB13E9">
        <w:t xml:space="preserve">when </w:t>
      </w:r>
      <w:r w:rsidR="000237D7">
        <w:t>AMF provides MRL based on UE’s ULI.</w:t>
      </w:r>
      <w:r w:rsidR="00474D2B">
        <w:t xml:space="preserve"> </w:t>
      </w:r>
      <w:r w:rsidR="00030DA3">
        <w:t>Once the UE is released, as the UE is aware of the CAG validity</w:t>
      </w:r>
      <w:r w:rsidR="00965C6E">
        <w:t xml:space="preserve"> information</w:t>
      </w:r>
      <w:r w:rsidR="00030DA3">
        <w:t>, it will not come back</w:t>
      </w:r>
      <w:r w:rsidR="00965C6E">
        <w:t xml:space="preserve"> if the UE’s current TA is not valid anymore.</w:t>
      </w:r>
    </w:p>
    <w:p w14:paraId="0EADC5D1" w14:textId="166B9E7A" w:rsidR="005F0947" w:rsidRPr="005F0947" w:rsidRDefault="005F0947" w:rsidP="005F0947">
      <w:pPr>
        <w:rPr>
          <w:b/>
          <w:bCs/>
        </w:rPr>
      </w:pPr>
      <w:r w:rsidRPr="005F0947">
        <w:rPr>
          <w:b/>
          <w:bCs/>
        </w:rPr>
        <w:t>Conclusion:</w:t>
      </w:r>
    </w:p>
    <w:p w14:paraId="7FB0F6D2" w14:textId="6AE2445F" w:rsidR="005F0947" w:rsidRDefault="00770420" w:rsidP="005F0947">
      <w:pPr>
        <w:rPr>
          <w:b/>
          <w:bCs/>
        </w:rPr>
      </w:pPr>
      <w:r>
        <w:rPr>
          <w:b/>
          <w:bCs/>
        </w:rPr>
        <w:t>As long as the use case does not require</w:t>
      </w:r>
      <w:r w:rsidR="006E37A6" w:rsidRPr="000C214F">
        <w:rPr>
          <w:b/>
          <w:bCs/>
        </w:rPr>
        <w:t xml:space="preserve"> stringent </w:t>
      </w:r>
      <w:r w:rsidR="005B5A04">
        <w:rPr>
          <w:b/>
          <w:bCs/>
        </w:rPr>
        <w:t xml:space="preserve">CAG </w:t>
      </w:r>
      <w:r w:rsidR="006E37A6" w:rsidRPr="000C214F">
        <w:rPr>
          <w:b/>
          <w:bCs/>
        </w:rPr>
        <w:t>access control based on location validity</w:t>
      </w:r>
      <w:r>
        <w:rPr>
          <w:b/>
          <w:bCs/>
        </w:rPr>
        <w:t xml:space="preserve">, </w:t>
      </w:r>
      <w:r w:rsidR="006E37A6" w:rsidRPr="000C214F">
        <w:rPr>
          <w:b/>
          <w:bCs/>
        </w:rPr>
        <w:t>RAN impact</w:t>
      </w:r>
      <w:r w:rsidR="00363755">
        <w:rPr>
          <w:b/>
          <w:bCs/>
        </w:rPr>
        <w:t xml:space="preserve"> can be avoided</w:t>
      </w:r>
      <w:r w:rsidR="0097472B">
        <w:rPr>
          <w:b/>
          <w:bCs/>
        </w:rPr>
        <w:t xml:space="preserve"> to support location validity condition</w:t>
      </w:r>
      <w:r w:rsidR="00363755">
        <w:rPr>
          <w:b/>
          <w:bCs/>
        </w:rPr>
        <w:t>.</w:t>
      </w:r>
    </w:p>
    <w:p w14:paraId="3E57EE49" w14:textId="77777777" w:rsidR="00435DB8" w:rsidRPr="000C214F" w:rsidRDefault="00435DB8" w:rsidP="005F0947">
      <w:pPr>
        <w:rPr>
          <w:b/>
          <w:bCs/>
        </w:rPr>
      </w:pPr>
    </w:p>
    <w:p w14:paraId="0D4ADE66" w14:textId="43133142" w:rsidR="00CE741C" w:rsidRDefault="000B3EA8" w:rsidP="00CE741C">
      <w:pPr>
        <w:pStyle w:val="Heading1"/>
      </w:pPr>
      <w:r>
        <w:lastRenderedPageBreak/>
        <w:t>2</w:t>
      </w:r>
      <w:r w:rsidR="00CE741C">
        <w:t>. Conclusion and Proposal</w:t>
      </w:r>
    </w:p>
    <w:p w14:paraId="3A21AA7B" w14:textId="77777777" w:rsidR="00F00933" w:rsidRDefault="002A31FE" w:rsidP="00E932B1">
      <w:pPr>
        <w:pStyle w:val="B1"/>
        <w:ind w:left="0" w:firstLine="0"/>
      </w:pPr>
      <w:r>
        <w:t xml:space="preserve">Progress </w:t>
      </w:r>
      <w:r w:rsidR="00F00933">
        <w:t>the following:</w:t>
      </w:r>
    </w:p>
    <w:p w14:paraId="175193BA" w14:textId="39FEA2DD" w:rsidR="00A03059" w:rsidRPr="00EF1131" w:rsidRDefault="00F00933" w:rsidP="00F00933">
      <w:pPr>
        <w:pStyle w:val="B1"/>
        <w:numPr>
          <w:ilvl w:val="0"/>
          <w:numId w:val="14"/>
        </w:numPr>
      </w:pPr>
      <w:r>
        <w:t>A</w:t>
      </w:r>
      <w:r w:rsidR="00515B54" w:rsidRPr="00EF1131">
        <w:t xml:space="preserve">lternative 2 for </w:t>
      </w:r>
      <w:r w:rsidR="00AA1E47" w:rsidRPr="00EF1131">
        <w:t>AMF to provide</w:t>
      </w:r>
      <w:r w:rsidR="00515B54" w:rsidRPr="00EF1131">
        <w:t xml:space="preserve"> Allowed CAG list </w:t>
      </w:r>
      <w:r w:rsidR="00F45A48" w:rsidRPr="00EF1131">
        <w:t>without validity information to NG-RAN, based on the NG-RAN supported TAI</w:t>
      </w:r>
      <w:r w:rsidR="00EC48EC">
        <w:t>s</w:t>
      </w:r>
      <w:r>
        <w:t>; and</w:t>
      </w:r>
    </w:p>
    <w:p w14:paraId="3B1A8692" w14:textId="78C91858" w:rsidR="00515B54" w:rsidRDefault="00F00933" w:rsidP="00F00933">
      <w:pPr>
        <w:pStyle w:val="B1"/>
      </w:pPr>
      <w:r>
        <w:t>-</w:t>
      </w:r>
      <w:r>
        <w:tab/>
      </w:r>
      <w:r w:rsidR="00515B54" w:rsidRPr="009A1135">
        <w:t>AMF release</w:t>
      </w:r>
      <w:r w:rsidR="00E81BCE" w:rsidRPr="009A1135">
        <w:t>s</w:t>
      </w:r>
      <w:r w:rsidR="00515B54" w:rsidRPr="009A1135">
        <w:t xml:space="preserve"> the UE</w:t>
      </w:r>
      <w:r w:rsidR="00E81BCE" w:rsidRPr="009A1135">
        <w:t xml:space="preserve"> if any location validity has changed to invalid</w:t>
      </w:r>
      <w:r w:rsidR="00C74662">
        <w:t xml:space="preserve"> (TA in the UE’s ULI)</w:t>
      </w:r>
      <w:r w:rsidR="00B97A6D">
        <w:t>, based on operator’s policy</w:t>
      </w:r>
      <w:r w:rsidR="00E81BCE" w:rsidRPr="009A1135">
        <w:t>.</w:t>
      </w:r>
    </w:p>
    <w:p w14:paraId="0A4D79C5" w14:textId="27CCB6BF" w:rsidR="00FE6C14" w:rsidRPr="009A1135" w:rsidRDefault="00F00933" w:rsidP="00E932B1">
      <w:pPr>
        <w:pStyle w:val="B1"/>
        <w:ind w:left="0" w:firstLine="0"/>
      </w:pPr>
      <w:r>
        <w:t>The c</w:t>
      </w:r>
      <w:r w:rsidR="00FE6C14">
        <w:t>orresp</w:t>
      </w:r>
      <w:r w:rsidR="00D30987">
        <w:t>onding changes are available in S2-23</w:t>
      </w:r>
      <w:r w:rsidR="00A03768">
        <w:t>0</w:t>
      </w:r>
      <w:r w:rsidR="005254CE">
        <w:t>4091</w:t>
      </w:r>
      <w:r w:rsidR="00A03768">
        <w:t>.</w:t>
      </w:r>
    </w:p>
    <w:bookmarkEnd w:id="0"/>
    <w:p w14:paraId="13FF66CF" w14:textId="77777777" w:rsidR="00A177A7" w:rsidRPr="00A177A7" w:rsidRDefault="00A177A7" w:rsidP="00A177A7"/>
    <w:sectPr w:rsidR="00A177A7" w:rsidRPr="00A177A7" w:rsidSect="003B5E2F">
      <w:footerReference w:type="default" r:id="rId12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177DF" w14:textId="77777777" w:rsidR="00187128" w:rsidRDefault="00187128">
      <w:r>
        <w:separator/>
      </w:r>
    </w:p>
  </w:endnote>
  <w:endnote w:type="continuationSeparator" w:id="0">
    <w:p w14:paraId="01C99375" w14:textId="77777777" w:rsidR="00187128" w:rsidRDefault="00187128">
      <w:r>
        <w:continuationSeparator/>
      </w:r>
    </w:p>
  </w:endnote>
  <w:endnote w:type="continuationNotice" w:id="1">
    <w:p w14:paraId="55E3DE11" w14:textId="77777777" w:rsidR="00187128" w:rsidRDefault="001871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AD92E" w14:textId="77777777" w:rsidR="00187128" w:rsidRDefault="00187128">
      <w:r>
        <w:separator/>
      </w:r>
    </w:p>
  </w:footnote>
  <w:footnote w:type="continuationSeparator" w:id="0">
    <w:p w14:paraId="6CB3ACE3" w14:textId="77777777" w:rsidR="00187128" w:rsidRDefault="00187128">
      <w:r>
        <w:continuationSeparator/>
      </w:r>
    </w:p>
  </w:footnote>
  <w:footnote w:type="continuationNotice" w:id="1">
    <w:p w14:paraId="469C4BFE" w14:textId="77777777" w:rsidR="00187128" w:rsidRDefault="001871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8F4632"/>
    <w:multiLevelType w:val="hybridMultilevel"/>
    <w:tmpl w:val="745A0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05B55"/>
    <w:multiLevelType w:val="hybridMultilevel"/>
    <w:tmpl w:val="42B0EA0E"/>
    <w:lvl w:ilvl="0" w:tplc="0AD878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3660976"/>
    <w:multiLevelType w:val="hybridMultilevel"/>
    <w:tmpl w:val="64C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F11BD"/>
    <w:multiLevelType w:val="hybridMultilevel"/>
    <w:tmpl w:val="4C4EB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43580"/>
    <w:multiLevelType w:val="hybridMultilevel"/>
    <w:tmpl w:val="16FAE174"/>
    <w:lvl w:ilvl="0" w:tplc="ACA02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7599156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80850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2248218">
    <w:abstractNumId w:val="1"/>
  </w:num>
  <w:num w:numId="4" w16cid:durableId="1128234956">
    <w:abstractNumId w:val="8"/>
  </w:num>
  <w:num w:numId="5" w16cid:durableId="105466516">
    <w:abstractNumId w:val="4"/>
  </w:num>
  <w:num w:numId="6" w16cid:durableId="420373474">
    <w:abstractNumId w:val="6"/>
  </w:num>
  <w:num w:numId="7" w16cid:durableId="1955207415">
    <w:abstractNumId w:val="12"/>
  </w:num>
  <w:num w:numId="8" w16cid:durableId="334919249">
    <w:abstractNumId w:val="7"/>
  </w:num>
  <w:num w:numId="9" w16cid:durableId="1413117804">
    <w:abstractNumId w:val="11"/>
  </w:num>
  <w:num w:numId="10" w16cid:durableId="1759445662">
    <w:abstractNumId w:val="5"/>
  </w:num>
  <w:num w:numId="11" w16cid:durableId="871262337">
    <w:abstractNumId w:val="2"/>
  </w:num>
  <w:num w:numId="12" w16cid:durableId="434981051">
    <w:abstractNumId w:val="9"/>
  </w:num>
  <w:num w:numId="13" w16cid:durableId="1292785895">
    <w:abstractNumId w:val="10"/>
  </w:num>
  <w:num w:numId="14" w16cid:durableId="960764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24F3"/>
    <w:rsid w:val="00006292"/>
    <w:rsid w:val="00010C32"/>
    <w:rsid w:val="00013191"/>
    <w:rsid w:val="000136D6"/>
    <w:rsid w:val="000218DC"/>
    <w:rsid w:val="000237B2"/>
    <w:rsid w:val="000237D7"/>
    <w:rsid w:val="00023CAA"/>
    <w:rsid w:val="00024BFD"/>
    <w:rsid w:val="0002610D"/>
    <w:rsid w:val="00030DA3"/>
    <w:rsid w:val="000311B5"/>
    <w:rsid w:val="00031C38"/>
    <w:rsid w:val="00031E70"/>
    <w:rsid w:val="00033397"/>
    <w:rsid w:val="00034B47"/>
    <w:rsid w:val="00034DA7"/>
    <w:rsid w:val="00040095"/>
    <w:rsid w:val="00040B93"/>
    <w:rsid w:val="00040BB3"/>
    <w:rsid w:val="00041DF0"/>
    <w:rsid w:val="00042C07"/>
    <w:rsid w:val="00043734"/>
    <w:rsid w:val="00045004"/>
    <w:rsid w:val="000516F5"/>
    <w:rsid w:val="00051834"/>
    <w:rsid w:val="00053558"/>
    <w:rsid w:val="000546B6"/>
    <w:rsid w:val="00054A22"/>
    <w:rsid w:val="00057B8A"/>
    <w:rsid w:val="00062023"/>
    <w:rsid w:val="000624E9"/>
    <w:rsid w:val="000639DF"/>
    <w:rsid w:val="00063E18"/>
    <w:rsid w:val="000655A6"/>
    <w:rsid w:val="000665E6"/>
    <w:rsid w:val="00070B4F"/>
    <w:rsid w:val="00073C47"/>
    <w:rsid w:val="00080512"/>
    <w:rsid w:val="0008107A"/>
    <w:rsid w:val="000825CB"/>
    <w:rsid w:val="00083BB7"/>
    <w:rsid w:val="00083E28"/>
    <w:rsid w:val="00084FE9"/>
    <w:rsid w:val="00085A2C"/>
    <w:rsid w:val="00086C2C"/>
    <w:rsid w:val="00090AB9"/>
    <w:rsid w:val="00090BF5"/>
    <w:rsid w:val="0009415F"/>
    <w:rsid w:val="00094204"/>
    <w:rsid w:val="00094A0D"/>
    <w:rsid w:val="000968E9"/>
    <w:rsid w:val="000979FA"/>
    <w:rsid w:val="000A06C7"/>
    <w:rsid w:val="000A0F9D"/>
    <w:rsid w:val="000A3E1E"/>
    <w:rsid w:val="000A4D7E"/>
    <w:rsid w:val="000A57D1"/>
    <w:rsid w:val="000A5E93"/>
    <w:rsid w:val="000A6AD4"/>
    <w:rsid w:val="000B05D5"/>
    <w:rsid w:val="000B3EA8"/>
    <w:rsid w:val="000B5A5F"/>
    <w:rsid w:val="000B64A3"/>
    <w:rsid w:val="000C150F"/>
    <w:rsid w:val="000C1622"/>
    <w:rsid w:val="000C214F"/>
    <w:rsid w:val="000C3CD9"/>
    <w:rsid w:val="000C47C3"/>
    <w:rsid w:val="000C4E4D"/>
    <w:rsid w:val="000C555F"/>
    <w:rsid w:val="000D01A7"/>
    <w:rsid w:val="000D0E61"/>
    <w:rsid w:val="000D2D38"/>
    <w:rsid w:val="000D58AB"/>
    <w:rsid w:val="000D7875"/>
    <w:rsid w:val="000E1DC5"/>
    <w:rsid w:val="000E21A3"/>
    <w:rsid w:val="000E26D1"/>
    <w:rsid w:val="000E2F71"/>
    <w:rsid w:val="000E3B42"/>
    <w:rsid w:val="000E453B"/>
    <w:rsid w:val="000E4941"/>
    <w:rsid w:val="000E4988"/>
    <w:rsid w:val="000E5982"/>
    <w:rsid w:val="000E6CED"/>
    <w:rsid w:val="000F09CC"/>
    <w:rsid w:val="000F574F"/>
    <w:rsid w:val="000F6D25"/>
    <w:rsid w:val="000F768B"/>
    <w:rsid w:val="00103463"/>
    <w:rsid w:val="00104D6E"/>
    <w:rsid w:val="00112877"/>
    <w:rsid w:val="00114A0E"/>
    <w:rsid w:val="0011605A"/>
    <w:rsid w:val="0011672F"/>
    <w:rsid w:val="00117D3D"/>
    <w:rsid w:val="001216C4"/>
    <w:rsid w:val="0012243E"/>
    <w:rsid w:val="00132F61"/>
    <w:rsid w:val="00133525"/>
    <w:rsid w:val="001337AC"/>
    <w:rsid w:val="00142639"/>
    <w:rsid w:val="00144EFE"/>
    <w:rsid w:val="00150578"/>
    <w:rsid w:val="001521D3"/>
    <w:rsid w:val="00154728"/>
    <w:rsid w:val="00157931"/>
    <w:rsid w:val="00163849"/>
    <w:rsid w:val="00164C2A"/>
    <w:rsid w:val="00166566"/>
    <w:rsid w:val="001666FD"/>
    <w:rsid w:val="00167839"/>
    <w:rsid w:val="00170881"/>
    <w:rsid w:val="001720A2"/>
    <w:rsid w:val="00174AEF"/>
    <w:rsid w:val="00177FCC"/>
    <w:rsid w:val="00181091"/>
    <w:rsid w:val="00181B37"/>
    <w:rsid w:val="00184F08"/>
    <w:rsid w:val="00185425"/>
    <w:rsid w:val="001864FF"/>
    <w:rsid w:val="00186877"/>
    <w:rsid w:val="00187128"/>
    <w:rsid w:val="00190D7E"/>
    <w:rsid w:val="00191F01"/>
    <w:rsid w:val="00193F66"/>
    <w:rsid w:val="00196B5F"/>
    <w:rsid w:val="00196D3C"/>
    <w:rsid w:val="00197186"/>
    <w:rsid w:val="001A08AE"/>
    <w:rsid w:val="001A0C66"/>
    <w:rsid w:val="001A4C42"/>
    <w:rsid w:val="001A504E"/>
    <w:rsid w:val="001A7420"/>
    <w:rsid w:val="001A78AA"/>
    <w:rsid w:val="001B378E"/>
    <w:rsid w:val="001B6637"/>
    <w:rsid w:val="001C07FF"/>
    <w:rsid w:val="001C21C3"/>
    <w:rsid w:val="001C2CAE"/>
    <w:rsid w:val="001C3015"/>
    <w:rsid w:val="001C55C7"/>
    <w:rsid w:val="001C60EF"/>
    <w:rsid w:val="001D02C2"/>
    <w:rsid w:val="001D0D9B"/>
    <w:rsid w:val="001E0176"/>
    <w:rsid w:val="001E02FF"/>
    <w:rsid w:val="001E18E5"/>
    <w:rsid w:val="001E5182"/>
    <w:rsid w:val="001E54E8"/>
    <w:rsid w:val="001F0C1D"/>
    <w:rsid w:val="001F0D28"/>
    <w:rsid w:val="001F1132"/>
    <w:rsid w:val="001F168B"/>
    <w:rsid w:val="001F1CA5"/>
    <w:rsid w:val="001F2C95"/>
    <w:rsid w:val="001F4150"/>
    <w:rsid w:val="001F61C0"/>
    <w:rsid w:val="002021DA"/>
    <w:rsid w:val="00203A4F"/>
    <w:rsid w:val="002047DC"/>
    <w:rsid w:val="00207A09"/>
    <w:rsid w:val="00207B4C"/>
    <w:rsid w:val="00207C05"/>
    <w:rsid w:val="0021010F"/>
    <w:rsid w:val="002117BC"/>
    <w:rsid w:val="00213892"/>
    <w:rsid w:val="00214796"/>
    <w:rsid w:val="00215F74"/>
    <w:rsid w:val="00216013"/>
    <w:rsid w:val="00220E82"/>
    <w:rsid w:val="00221BFD"/>
    <w:rsid w:val="0023229E"/>
    <w:rsid w:val="002347A2"/>
    <w:rsid w:val="00234B5A"/>
    <w:rsid w:val="0023545D"/>
    <w:rsid w:val="00235DB2"/>
    <w:rsid w:val="00236A69"/>
    <w:rsid w:val="002379F2"/>
    <w:rsid w:val="00240442"/>
    <w:rsid w:val="00244FDE"/>
    <w:rsid w:val="00247AA2"/>
    <w:rsid w:val="002511B0"/>
    <w:rsid w:val="00253B72"/>
    <w:rsid w:val="002607AC"/>
    <w:rsid w:val="00263F4D"/>
    <w:rsid w:val="00265AB6"/>
    <w:rsid w:val="002675F0"/>
    <w:rsid w:val="0027008B"/>
    <w:rsid w:val="00271D1B"/>
    <w:rsid w:val="002760EE"/>
    <w:rsid w:val="00276256"/>
    <w:rsid w:val="0028064B"/>
    <w:rsid w:val="002836DD"/>
    <w:rsid w:val="00287890"/>
    <w:rsid w:val="00290A73"/>
    <w:rsid w:val="002A1526"/>
    <w:rsid w:val="002A28A8"/>
    <w:rsid w:val="002A31FE"/>
    <w:rsid w:val="002A4A13"/>
    <w:rsid w:val="002A7A1F"/>
    <w:rsid w:val="002B3217"/>
    <w:rsid w:val="002B6073"/>
    <w:rsid w:val="002B6339"/>
    <w:rsid w:val="002C0746"/>
    <w:rsid w:val="002C119E"/>
    <w:rsid w:val="002C2F48"/>
    <w:rsid w:val="002C39EF"/>
    <w:rsid w:val="002C4493"/>
    <w:rsid w:val="002D256F"/>
    <w:rsid w:val="002D618D"/>
    <w:rsid w:val="002D679F"/>
    <w:rsid w:val="002D6C95"/>
    <w:rsid w:val="002D7174"/>
    <w:rsid w:val="002D7210"/>
    <w:rsid w:val="002E00EE"/>
    <w:rsid w:val="002E18B9"/>
    <w:rsid w:val="002E20BA"/>
    <w:rsid w:val="002E4B3C"/>
    <w:rsid w:val="002F065B"/>
    <w:rsid w:val="002F073B"/>
    <w:rsid w:val="002F22DA"/>
    <w:rsid w:val="002F498E"/>
    <w:rsid w:val="002F549F"/>
    <w:rsid w:val="002F6B10"/>
    <w:rsid w:val="00301080"/>
    <w:rsid w:val="00301D99"/>
    <w:rsid w:val="0030254E"/>
    <w:rsid w:val="00302D72"/>
    <w:rsid w:val="00304620"/>
    <w:rsid w:val="00310A36"/>
    <w:rsid w:val="00310F2C"/>
    <w:rsid w:val="003118C1"/>
    <w:rsid w:val="00311E64"/>
    <w:rsid w:val="00311E8D"/>
    <w:rsid w:val="00313859"/>
    <w:rsid w:val="00315388"/>
    <w:rsid w:val="003172DC"/>
    <w:rsid w:val="003226B6"/>
    <w:rsid w:val="00332C27"/>
    <w:rsid w:val="00332C58"/>
    <w:rsid w:val="00336C92"/>
    <w:rsid w:val="00341593"/>
    <w:rsid w:val="00345E22"/>
    <w:rsid w:val="0034716B"/>
    <w:rsid w:val="00347267"/>
    <w:rsid w:val="00347EC0"/>
    <w:rsid w:val="003501A3"/>
    <w:rsid w:val="00350EC4"/>
    <w:rsid w:val="00351A0A"/>
    <w:rsid w:val="00353377"/>
    <w:rsid w:val="003540D0"/>
    <w:rsid w:val="0035462D"/>
    <w:rsid w:val="003557F1"/>
    <w:rsid w:val="00356555"/>
    <w:rsid w:val="00356B0F"/>
    <w:rsid w:val="00362257"/>
    <w:rsid w:val="00362ACB"/>
    <w:rsid w:val="00363755"/>
    <w:rsid w:val="0036516F"/>
    <w:rsid w:val="00366B2B"/>
    <w:rsid w:val="00367565"/>
    <w:rsid w:val="00370C75"/>
    <w:rsid w:val="00371E1F"/>
    <w:rsid w:val="00372C5D"/>
    <w:rsid w:val="003750C2"/>
    <w:rsid w:val="003765B8"/>
    <w:rsid w:val="003818EF"/>
    <w:rsid w:val="00385F58"/>
    <w:rsid w:val="00387D5C"/>
    <w:rsid w:val="00393716"/>
    <w:rsid w:val="00393B83"/>
    <w:rsid w:val="00396501"/>
    <w:rsid w:val="003A4DAE"/>
    <w:rsid w:val="003A56B6"/>
    <w:rsid w:val="003A5D5F"/>
    <w:rsid w:val="003A7765"/>
    <w:rsid w:val="003B5E2F"/>
    <w:rsid w:val="003B7A94"/>
    <w:rsid w:val="003C1F3D"/>
    <w:rsid w:val="003C2D18"/>
    <w:rsid w:val="003C3971"/>
    <w:rsid w:val="003C3B45"/>
    <w:rsid w:val="003D0304"/>
    <w:rsid w:val="003D1E49"/>
    <w:rsid w:val="003D3DC6"/>
    <w:rsid w:val="003D46B0"/>
    <w:rsid w:val="003D5E77"/>
    <w:rsid w:val="003D7352"/>
    <w:rsid w:val="003E3088"/>
    <w:rsid w:val="003E3FBC"/>
    <w:rsid w:val="003E4F5A"/>
    <w:rsid w:val="003E5CC1"/>
    <w:rsid w:val="003E7131"/>
    <w:rsid w:val="003E7ECB"/>
    <w:rsid w:val="003F0E83"/>
    <w:rsid w:val="003F44FF"/>
    <w:rsid w:val="003F6CEC"/>
    <w:rsid w:val="003F7129"/>
    <w:rsid w:val="00402926"/>
    <w:rsid w:val="00402B46"/>
    <w:rsid w:val="0040461D"/>
    <w:rsid w:val="00406FB0"/>
    <w:rsid w:val="00410398"/>
    <w:rsid w:val="00410483"/>
    <w:rsid w:val="00411930"/>
    <w:rsid w:val="004126D7"/>
    <w:rsid w:val="004127C9"/>
    <w:rsid w:val="00414BBA"/>
    <w:rsid w:val="004155E6"/>
    <w:rsid w:val="004229E3"/>
    <w:rsid w:val="004231F0"/>
    <w:rsid w:val="00423334"/>
    <w:rsid w:val="00431D45"/>
    <w:rsid w:val="004345EC"/>
    <w:rsid w:val="00434B78"/>
    <w:rsid w:val="004355D1"/>
    <w:rsid w:val="00435DB8"/>
    <w:rsid w:val="004410DA"/>
    <w:rsid w:val="0044361B"/>
    <w:rsid w:val="004455DD"/>
    <w:rsid w:val="00445CCC"/>
    <w:rsid w:val="00452177"/>
    <w:rsid w:val="004562D5"/>
    <w:rsid w:val="00461822"/>
    <w:rsid w:val="004633EF"/>
    <w:rsid w:val="00465515"/>
    <w:rsid w:val="00466DC0"/>
    <w:rsid w:val="00467CD0"/>
    <w:rsid w:val="004706D4"/>
    <w:rsid w:val="0047171C"/>
    <w:rsid w:val="004743CB"/>
    <w:rsid w:val="00474D2B"/>
    <w:rsid w:val="004755E1"/>
    <w:rsid w:val="00484FDA"/>
    <w:rsid w:val="0049299B"/>
    <w:rsid w:val="00495110"/>
    <w:rsid w:val="0049536A"/>
    <w:rsid w:val="00495B6A"/>
    <w:rsid w:val="00495E88"/>
    <w:rsid w:val="00496252"/>
    <w:rsid w:val="0049751D"/>
    <w:rsid w:val="004A00AF"/>
    <w:rsid w:val="004A07A8"/>
    <w:rsid w:val="004A3873"/>
    <w:rsid w:val="004A3AE5"/>
    <w:rsid w:val="004A3D8B"/>
    <w:rsid w:val="004A53BC"/>
    <w:rsid w:val="004A634F"/>
    <w:rsid w:val="004A6857"/>
    <w:rsid w:val="004A6B9E"/>
    <w:rsid w:val="004A7631"/>
    <w:rsid w:val="004B2ED6"/>
    <w:rsid w:val="004B3159"/>
    <w:rsid w:val="004B480F"/>
    <w:rsid w:val="004B5AB7"/>
    <w:rsid w:val="004B5FF2"/>
    <w:rsid w:val="004B600D"/>
    <w:rsid w:val="004C0953"/>
    <w:rsid w:val="004C217C"/>
    <w:rsid w:val="004C2257"/>
    <w:rsid w:val="004C30AC"/>
    <w:rsid w:val="004C6008"/>
    <w:rsid w:val="004C786C"/>
    <w:rsid w:val="004D0988"/>
    <w:rsid w:val="004D1600"/>
    <w:rsid w:val="004D2EC4"/>
    <w:rsid w:val="004D3578"/>
    <w:rsid w:val="004D4A4A"/>
    <w:rsid w:val="004D4ED4"/>
    <w:rsid w:val="004E0672"/>
    <w:rsid w:val="004E1931"/>
    <w:rsid w:val="004E213A"/>
    <w:rsid w:val="004E23E6"/>
    <w:rsid w:val="004E3966"/>
    <w:rsid w:val="004E7AF0"/>
    <w:rsid w:val="004F0988"/>
    <w:rsid w:val="004F09A7"/>
    <w:rsid w:val="004F3340"/>
    <w:rsid w:val="004F4682"/>
    <w:rsid w:val="004F51CE"/>
    <w:rsid w:val="004F560B"/>
    <w:rsid w:val="004F74A8"/>
    <w:rsid w:val="0050029E"/>
    <w:rsid w:val="00500DCD"/>
    <w:rsid w:val="00504EE3"/>
    <w:rsid w:val="00505C5F"/>
    <w:rsid w:val="00507583"/>
    <w:rsid w:val="00511D81"/>
    <w:rsid w:val="00511E0A"/>
    <w:rsid w:val="00512D43"/>
    <w:rsid w:val="00512ECA"/>
    <w:rsid w:val="0051376E"/>
    <w:rsid w:val="00514A0F"/>
    <w:rsid w:val="00515B54"/>
    <w:rsid w:val="00515B9F"/>
    <w:rsid w:val="00521437"/>
    <w:rsid w:val="005219E5"/>
    <w:rsid w:val="005254CE"/>
    <w:rsid w:val="00525884"/>
    <w:rsid w:val="00526FBB"/>
    <w:rsid w:val="005273E5"/>
    <w:rsid w:val="00531D95"/>
    <w:rsid w:val="0053388B"/>
    <w:rsid w:val="00534EAE"/>
    <w:rsid w:val="00535773"/>
    <w:rsid w:val="0053596E"/>
    <w:rsid w:val="00537FBE"/>
    <w:rsid w:val="005401FC"/>
    <w:rsid w:val="005407F3"/>
    <w:rsid w:val="00541BA4"/>
    <w:rsid w:val="00541FC5"/>
    <w:rsid w:val="00543E6C"/>
    <w:rsid w:val="00545004"/>
    <w:rsid w:val="005459D8"/>
    <w:rsid w:val="0055110D"/>
    <w:rsid w:val="00551B1F"/>
    <w:rsid w:val="00554017"/>
    <w:rsid w:val="00555756"/>
    <w:rsid w:val="005616F2"/>
    <w:rsid w:val="005617C6"/>
    <w:rsid w:val="00562D14"/>
    <w:rsid w:val="00565087"/>
    <w:rsid w:val="005655F6"/>
    <w:rsid w:val="005656BB"/>
    <w:rsid w:val="00565E50"/>
    <w:rsid w:val="00567575"/>
    <w:rsid w:val="00571EF3"/>
    <w:rsid w:val="00574127"/>
    <w:rsid w:val="00575D3E"/>
    <w:rsid w:val="005767C2"/>
    <w:rsid w:val="005779EB"/>
    <w:rsid w:val="00580881"/>
    <w:rsid w:val="005816B4"/>
    <w:rsid w:val="00583E0C"/>
    <w:rsid w:val="005946A1"/>
    <w:rsid w:val="00596C74"/>
    <w:rsid w:val="005971F9"/>
    <w:rsid w:val="00597B11"/>
    <w:rsid w:val="005A0957"/>
    <w:rsid w:val="005A4681"/>
    <w:rsid w:val="005A49FA"/>
    <w:rsid w:val="005B00AD"/>
    <w:rsid w:val="005B499D"/>
    <w:rsid w:val="005B5A04"/>
    <w:rsid w:val="005B7599"/>
    <w:rsid w:val="005C05B3"/>
    <w:rsid w:val="005C068A"/>
    <w:rsid w:val="005C2912"/>
    <w:rsid w:val="005C3377"/>
    <w:rsid w:val="005C428A"/>
    <w:rsid w:val="005C488B"/>
    <w:rsid w:val="005C5F5D"/>
    <w:rsid w:val="005D2E01"/>
    <w:rsid w:val="005D4027"/>
    <w:rsid w:val="005D71B9"/>
    <w:rsid w:val="005D7526"/>
    <w:rsid w:val="005E05C6"/>
    <w:rsid w:val="005E14A9"/>
    <w:rsid w:val="005E4BB2"/>
    <w:rsid w:val="005F0947"/>
    <w:rsid w:val="005F0F01"/>
    <w:rsid w:val="005F14C4"/>
    <w:rsid w:val="005F1D4F"/>
    <w:rsid w:val="005F3A16"/>
    <w:rsid w:val="005F677E"/>
    <w:rsid w:val="005F788A"/>
    <w:rsid w:val="00600D93"/>
    <w:rsid w:val="006021AF"/>
    <w:rsid w:val="00602AEA"/>
    <w:rsid w:val="00603C26"/>
    <w:rsid w:val="00607D2E"/>
    <w:rsid w:val="00610AAE"/>
    <w:rsid w:val="0061423E"/>
    <w:rsid w:val="00614FDF"/>
    <w:rsid w:val="0061724E"/>
    <w:rsid w:val="0062442E"/>
    <w:rsid w:val="00624728"/>
    <w:rsid w:val="0062768B"/>
    <w:rsid w:val="00630E56"/>
    <w:rsid w:val="0063543D"/>
    <w:rsid w:val="00637307"/>
    <w:rsid w:val="0064316A"/>
    <w:rsid w:val="0064332A"/>
    <w:rsid w:val="006437F5"/>
    <w:rsid w:val="00643B32"/>
    <w:rsid w:val="00645581"/>
    <w:rsid w:val="00647114"/>
    <w:rsid w:val="0064787F"/>
    <w:rsid w:val="006479B9"/>
    <w:rsid w:val="00650A4E"/>
    <w:rsid w:val="00650FD9"/>
    <w:rsid w:val="00654647"/>
    <w:rsid w:val="00656FE9"/>
    <w:rsid w:val="00665ABE"/>
    <w:rsid w:val="00665EE9"/>
    <w:rsid w:val="00671D37"/>
    <w:rsid w:val="00672FA8"/>
    <w:rsid w:val="00673996"/>
    <w:rsid w:val="00674EA8"/>
    <w:rsid w:val="00675FC8"/>
    <w:rsid w:val="00677484"/>
    <w:rsid w:val="0068095A"/>
    <w:rsid w:val="00681365"/>
    <w:rsid w:val="006840A0"/>
    <w:rsid w:val="00686DB8"/>
    <w:rsid w:val="006912E9"/>
    <w:rsid w:val="00693D17"/>
    <w:rsid w:val="006973AD"/>
    <w:rsid w:val="0069761D"/>
    <w:rsid w:val="00697838"/>
    <w:rsid w:val="00697AE0"/>
    <w:rsid w:val="006A0082"/>
    <w:rsid w:val="006A0C52"/>
    <w:rsid w:val="006A0EFE"/>
    <w:rsid w:val="006A1883"/>
    <w:rsid w:val="006A294D"/>
    <w:rsid w:val="006A323F"/>
    <w:rsid w:val="006A6E2B"/>
    <w:rsid w:val="006B053A"/>
    <w:rsid w:val="006B12FE"/>
    <w:rsid w:val="006B1CF1"/>
    <w:rsid w:val="006B26B0"/>
    <w:rsid w:val="006B30D0"/>
    <w:rsid w:val="006B7812"/>
    <w:rsid w:val="006C08D6"/>
    <w:rsid w:val="006C25E6"/>
    <w:rsid w:val="006C307F"/>
    <w:rsid w:val="006C3D95"/>
    <w:rsid w:val="006C4C3E"/>
    <w:rsid w:val="006C54B5"/>
    <w:rsid w:val="006C78EC"/>
    <w:rsid w:val="006D13A0"/>
    <w:rsid w:val="006D4E52"/>
    <w:rsid w:val="006D6CB6"/>
    <w:rsid w:val="006D7194"/>
    <w:rsid w:val="006E1CF3"/>
    <w:rsid w:val="006E30B1"/>
    <w:rsid w:val="006E33E4"/>
    <w:rsid w:val="006E37A6"/>
    <w:rsid w:val="006E5C86"/>
    <w:rsid w:val="006E69BE"/>
    <w:rsid w:val="006E7FDB"/>
    <w:rsid w:val="00701116"/>
    <w:rsid w:val="0070146F"/>
    <w:rsid w:val="00701D7B"/>
    <w:rsid w:val="007075E5"/>
    <w:rsid w:val="0071001F"/>
    <w:rsid w:val="007100AC"/>
    <w:rsid w:val="0071141F"/>
    <w:rsid w:val="0071174C"/>
    <w:rsid w:val="00713C44"/>
    <w:rsid w:val="00714B18"/>
    <w:rsid w:val="00717288"/>
    <w:rsid w:val="00721CBE"/>
    <w:rsid w:val="007224C9"/>
    <w:rsid w:val="00722973"/>
    <w:rsid w:val="00722A56"/>
    <w:rsid w:val="007268A9"/>
    <w:rsid w:val="00731B95"/>
    <w:rsid w:val="007337A0"/>
    <w:rsid w:val="00734A5B"/>
    <w:rsid w:val="007372DF"/>
    <w:rsid w:val="0074026F"/>
    <w:rsid w:val="00741ABF"/>
    <w:rsid w:val="007429F6"/>
    <w:rsid w:val="007447A8"/>
    <w:rsid w:val="00744E76"/>
    <w:rsid w:val="00747AFD"/>
    <w:rsid w:val="007546D6"/>
    <w:rsid w:val="0075767D"/>
    <w:rsid w:val="007625A4"/>
    <w:rsid w:val="007629B1"/>
    <w:rsid w:val="007636FF"/>
    <w:rsid w:val="0076519F"/>
    <w:rsid w:val="00765EA3"/>
    <w:rsid w:val="00770420"/>
    <w:rsid w:val="00771B2C"/>
    <w:rsid w:val="00774DA4"/>
    <w:rsid w:val="00774F27"/>
    <w:rsid w:val="007801FB"/>
    <w:rsid w:val="00781C69"/>
    <w:rsid w:val="00781F0F"/>
    <w:rsid w:val="007839CC"/>
    <w:rsid w:val="00786454"/>
    <w:rsid w:val="0078701B"/>
    <w:rsid w:val="007907E4"/>
    <w:rsid w:val="0079242B"/>
    <w:rsid w:val="00792EBD"/>
    <w:rsid w:val="00795351"/>
    <w:rsid w:val="00796147"/>
    <w:rsid w:val="0079770D"/>
    <w:rsid w:val="007A51B9"/>
    <w:rsid w:val="007A611F"/>
    <w:rsid w:val="007A6661"/>
    <w:rsid w:val="007B600E"/>
    <w:rsid w:val="007C154F"/>
    <w:rsid w:val="007C1CEC"/>
    <w:rsid w:val="007C44D1"/>
    <w:rsid w:val="007C549A"/>
    <w:rsid w:val="007C57E6"/>
    <w:rsid w:val="007C70D7"/>
    <w:rsid w:val="007D2129"/>
    <w:rsid w:val="007D31F3"/>
    <w:rsid w:val="007D4066"/>
    <w:rsid w:val="007D736D"/>
    <w:rsid w:val="007D7C16"/>
    <w:rsid w:val="007E191D"/>
    <w:rsid w:val="007E1A67"/>
    <w:rsid w:val="007E282B"/>
    <w:rsid w:val="007E5D15"/>
    <w:rsid w:val="007F0F4A"/>
    <w:rsid w:val="007F41B0"/>
    <w:rsid w:val="008028A4"/>
    <w:rsid w:val="0080313E"/>
    <w:rsid w:val="00805367"/>
    <w:rsid w:val="00807039"/>
    <w:rsid w:val="0080715E"/>
    <w:rsid w:val="00807644"/>
    <w:rsid w:val="00810BF4"/>
    <w:rsid w:val="008146A2"/>
    <w:rsid w:val="00814F81"/>
    <w:rsid w:val="0081580B"/>
    <w:rsid w:val="00821EBD"/>
    <w:rsid w:val="00830442"/>
    <w:rsid w:val="00830747"/>
    <w:rsid w:val="00831750"/>
    <w:rsid w:val="00842C65"/>
    <w:rsid w:val="008432CF"/>
    <w:rsid w:val="00843C67"/>
    <w:rsid w:val="00844C1F"/>
    <w:rsid w:val="00850D8B"/>
    <w:rsid w:val="00851A56"/>
    <w:rsid w:val="008522E6"/>
    <w:rsid w:val="00853A5A"/>
    <w:rsid w:val="00853F6D"/>
    <w:rsid w:val="00856928"/>
    <w:rsid w:val="00862D39"/>
    <w:rsid w:val="00870CC1"/>
    <w:rsid w:val="00874AC3"/>
    <w:rsid w:val="008768CA"/>
    <w:rsid w:val="00876F8F"/>
    <w:rsid w:val="008818C0"/>
    <w:rsid w:val="00882418"/>
    <w:rsid w:val="00883CE3"/>
    <w:rsid w:val="00884789"/>
    <w:rsid w:val="008867D0"/>
    <w:rsid w:val="00886A8A"/>
    <w:rsid w:val="00891159"/>
    <w:rsid w:val="0089540A"/>
    <w:rsid w:val="008A17C4"/>
    <w:rsid w:val="008A4EE3"/>
    <w:rsid w:val="008B032A"/>
    <w:rsid w:val="008B327C"/>
    <w:rsid w:val="008C384C"/>
    <w:rsid w:val="008C4134"/>
    <w:rsid w:val="008C7586"/>
    <w:rsid w:val="008D2BF9"/>
    <w:rsid w:val="008D41C7"/>
    <w:rsid w:val="008D49B5"/>
    <w:rsid w:val="008D4C38"/>
    <w:rsid w:val="008D5226"/>
    <w:rsid w:val="008D767D"/>
    <w:rsid w:val="008E2D68"/>
    <w:rsid w:val="008E56B8"/>
    <w:rsid w:val="008E5AA9"/>
    <w:rsid w:val="008E6756"/>
    <w:rsid w:val="008F387B"/>
    <w:rsid w:val="008F4393"/>
    <w:rsid w:val="008F4D10"/>
    <w:rsid w:val="008F5B82"/>
    <w:rsid w:val="008F6BAC"/>
    <w:rsid w:val="0090271F"/>
    <w:rsid w:val="00902E23"/>
    <w:rsid w:val="00906120"/>
    <w:rsid w:val="00910C94"/>
    <w:rsid w:val="009114D7"/>
    <w:rsid w:val="0091348E"/>
    <w:rsid w:val="009144D6"/>
    <w:rsid w:val="00916338"/>
    <w:rsid w:val="00916B1C"/>
    <w:rsid w:val="0091774A"/>
    <w:rsid w:val="00917CCB"/>
    <w:rsid w:val="00917D5A"/>
    <w:rsid w:val="00923DB8"/>
    <w:rsid w:val="00926BC2"/>
    <w:rsid w:val="00930CA7"/>
    <w:rsid w:val="00930D30"/>
    <w:rsid w:val="0093271F"/>
    <w:rsid w:val="00933FB0"/>
    <w:rsid w:val="009343D9"/>
    <w:rsid w:val="009351BF"/>
    <w:rsid w:val="00935797"/>
    <w:rsid w:val="00937EA5"/>
    <w:rsid w:val="00940D9E"/>
    <w:rsid w:val="00940FC2"/>
    <w:rsid w:val="00941D3D"/>
    <w:rsid w:val="00941E60"/>
    <w:rsid w:val="00942EC2"/>
    <w:rsid w:val="00944D8E"/>
    <w:rsid w:val="00946C36"/>
    <w:rsid w:val="009475A3"/>
    <w:rsid w:val="00947B21"/>
    <w:rsid w:val="00952646"/>
    <w:rsid w:val="0095447B"/>
    <w:rsid w:val="00954541"/>
    <w:rsid w:val="009569A5"/>
    <w:rsid w:val="00956C68"/>
    <w:rsid w:val="00956E83"/>
    <w:rsid w:val="00961BE5"/>
    <w:rsid w:val="00962FF2"/>
    <w:rsid w:val="0096335E"/>
    <w:rsid w:val="009640C3"/>
    <w:rsid w:val="009646BE"/>
    <w:rsid w:val="00965C6E"/>
    <w:rsid w:val="00965D26"/>
    <w:rsid w:val="009665F2"/>
    <w:rsid w:val="0096720B"/>
    <w:rsid w:val="009704B7"/>
    <w:rsid w:val="009717C0"/>
    <w:rsid w:val="0097472B"/>
    <w:rsid w:val="009809F7"/>
    <w:rsid w:val="00980E0C"/>
    <w:rsid w:val="00981B7A"/>
    <w:rsid w:val="0098209C"/>
    <w:rsid w:val="009842C8"/>
    <w:rsid w:val="009948AD"/>
    <w:rsid w:val="00994DE3"/>
    <w:rsid w:val="00995653"/>
    <w:rsid w:val="00996F74"/>
    <w:rsid w:val="009A064F"/>
    <w:rsid w:val="009A1135"/>
    <w:rsid w:val="009B117E"/>
    <w:rsid w:val="009B1488"/>
    <w:rsid w:val="009B1FFF"/>
    <w:rsid w:val="009B52AD"/>
    <w:rsid w:val="009B6232"/>
    <w:rsid w:val="009B6B26"/>
    <w:rsid w:val="009B76DB"/>
    <w:rsid w:val="009C0B28"/>
    <w:rsid w:val="009C1DA6"/>
    <w:rsid w:val="009C70B9"/>
    <w:rsid w:val="009C7A05"/>
    <w:rsid w:val="009D2C95"/>
    <w:rsid w:val="009D70E9"/>
    <w:rsid w:val="009E1D19"/>
    <w:rsid w:val="009E267D"/>
    <w:rsid w:val="009E375B"/>
    <w:rsid w:val="009E3C22"/>
    <w:rsid w:val="009E3F71"/>
    <w:rsid w:val="009E438F"/>
    <w:rsid w:val="009F27C8"/>
    <w:rsid w:val="009F3647"/>
    <w:rsid w:val="009F37B7"/>
    <w:rsid w:val="009F6B8D"/>
    <w:rsid w:val="00A01F20"/>
    <w:rsid w:val="00A0233D"/>
    <w:rsid w:val="00A03059"/>
    <w:rsid w:val="00A03768"/>
    <w:rsid w:val="00A03ECD"/>
    <w:rsid w:val="00A10250"/>
    <w:rsid w:val="00A10398"/>
    <w:rsid w:val="00A10F02"/>
    <w:rsid w:val="00A11842"/>
    <w:rsid w:val="00A11A61"/>
    <w:rsid w:val="00A11C71"/>
    <w:rsid w:val="00A13380"/>
    <w:rsid w:val="00A13C72"/>
    <w:rsid w:val="00A152F9"/>
    <w:rsid w:val="00A164B4"/>
    <w:rsid w:val="00A1691C"/>
    <w:rsid w:val="00A177A7"/>
    <w:rsid w:val="00A20A41"/>
    <w:rsid w:val="00A26697"/>
    <w:rsid w:val="00A26956"/>
    <w:rsid w:val="00A27486"/>
    <w:rsid w:val="00A3050C"/>
    <w:rsid w:val="00A32045"/>
    <w:rsid w:val="00A338BC"/>
    <w:rsid w:val="00A3644D"/>
    <w:rsid w:val="00A36B8C"/>
    <w:rsid w:val="00A40A46"/>
    <w:rsid w:val="00A41F0B"/>
    <w:rsid w:val="00A4348F"/>
    <w:rsid w:val="00A444AB"/>
    <w:rsid w:val="00A462F4"/>
    <w:rsid w:val="00A51A5B"/>
    <w:rsid w:val="00A53724"/>
    <w:rsid w:val="00A542ED"/>
    <w:rsid w:val="00A56066"/>
    <w:rsid w:val="00A56FB2"/>
    <w:rsid w:val="00A60445"/>
    <w:rsid w:val="00A609B3"/>
    <w:rsid w:val="00A60A5A"/>
    <w:rsid w:val="00A61810"/>
    <w:rsid w:val="00A6394A"/>
    <w:rsid w:val="00A65740"/>
    <w:rsid w:val="00A6625A"/>
    <w:rsid w:val="00A67A0D"/>
    <w:rsid w:val="00A710E8"/>
    <w:rsid w:val="00A71B29"/>
    <w:rsid w:val="00A73129"/>
    <w:rsid w:val="00A73603"/>
    <w:rsid w:val="00A74F1D"/>
    <w:rsid w:val="00A779F7"/>
    <w:rsid w:val="00A800DF"/>
    <w:rsid w:val="00A805A3"/>
    <w:rsid w:val="00A82346"/>
    <w:rsid w:val="00A82A6C"/>
    <w:rsid w:val="00A837FF"/>
    <w:rsid w:val="00A918C3"/>
    <w:rsid w:val="00A91CA5"/>
    <w:rsid w:val="00A92BA1"/>
    <w:rsid w:val="00A958A0"/>
    <w:rsid w:val="00A95A32"/>
    <w:rsid w:val="00AA1E47"/>
    <w:rsid w:val="00AA31F5"/>
    <w:rsid w:val="00AA354B"/>
    <w:rsid w:val="00AA3862"/>
    <w:rsid w:val="00AA5132"/>
    <w:rsid w:val="00AA7332"/>
    <w:rsid w:val="00AB2BD9"/>
    <w:rsid w:val="00AB38B6"/>
    <w:rsid w:val="00AB4A5D"/>
    <w:rsid w:val="00AB5186"/>
    <w:rsid w:val="00AC2054"/>
    <w:rsid w:val="00AC526F"/>
    <w:rsid w:val="00AC6BC6"/>
    <w:rsid w:val="00AD0FC2"/>
    <w:rsid w:val="00AD19A1"/>
    <w:rsid w:val="00AD3348"/>
    <w:rsid w:val="00AD54BA"/>
    <w:rsid w:val="00AD6045"/>
    <w:rsid w:val="00AD65D4"/>
    <w:rsid w:val="00AE0579"/>
    <w:rsid w:val="00AE304B"/>
    <w:rsid w:val="00AE50CE"/>
    <w:rsid w:val="00AE520D"/>
    <w:rsid w:val="00AE65E2"/>
    <w:rsid w:val="00AE7A15"/>
    <w:rsid w:val="00AF0CF2"/>
    <w:rsid w:val="00AF1460"/>
    <w:rsid w:val="00AF1947"/>
    <w:rsid w:val="00AF2285"/>
    <w:rsid w:val="00AF4F79"/>
    <w:rsid w:val="00AF5B18"/>
    <w:rsid w:val="00AF71A8"/>
    <w:rsid w:val="00B00121"/>
    <w:rsid w:val="00B03AC0"/>
    <w:rsid w:val="00B04813"/>
    <w:rsid w:val="00B0577B"/>
    <w:rsid w:val="00B05FA8"/>
    <w:rsid w:val="00B0662F"/>
    <w:rsid w:val="00B1056C"/>
    <w:rsid w:val="00B10F75"/>
    <w:rsid w:val="00B140FA"/>
    <w:rsid w:val="00B14EED"/>
    <w:rsid w:val="00B15449"/>
    <w:rsid w:val="00B23303"/>
    <w:rsid w:val="00B24142"/>
    <w:rsid w:val="00B307DD"/>
    <w:rsid w:val="00B31A5B"/>
    <w:rsid w:val="00B33876"/>
    <w:rsid w:val="00B35CB6"/>
    <w:rsid w:val="00B3772C"/>
    <w:rsid w:val="00B4121F"/>
    <w:rsid w:val="00B43284"/>
    <w:rsid w:val="00B459D0"/>
    <w:rsid w:val="00B505E0"/>
    <w:rsid w:val="00B5135B"/>
    <w:rsid w:val="00B52271"/>
    <w:rsid w:val="00B53298"/>
    <w:rsid w:val="00B55072"/>
    <w:rsid w:val="00B606FE"/>
    <w:rsid w:val="00B64051"/>
    <w:rsid w:val="00B65341"/>
    <w:rsid w:val="00B66805"/>
    <w:rsid w:val="00B6766A"/>
    <w:rsid w:val="00B70120"/>
    <w:rsid w:val="00B73EF0"/>
    <w:rsid w:val="00B74AFF"/>
    <w:rsid w:val="00B752B2"/>
    <w:rsid w:val="00B75BA3"/>
    <w:rsid w:val="00B76B87"/>
    <w:rsid w:val="00B8205E"/>
    <w:rsid w:val="00B8262C"/>
    <w:rsid w:val="00B82A42"/>
    <w:rsid w:val="00B83518"/>
    <w:rsid w:val="00B83BBE"/>
    <w:rsid w:val="00B85D94"/>
    <w:rsid w:val="00B87757"/>
    <w:rsid w:val="00B90408"/>
    <w:rsid w:val="00B92093"/>
    <w:rsid w:val="00B92C8E"/>
    <w:rsid w:val="00B93086"/>
    <w:rsid w:val="00B93C21"/>
    <w:rsid w:val="00B957B9"/>
    <w:rsid w:val="00B963F6"/>
    <w:rsid w:val="00B97A6D"/>
    <w:rsid w:val="00BA0AB2"/>
    <w:rsid w:val="00BA0F90"/>
    <w:rsid w:val="00BA19ED"/>
    <w:rsid w:val="00BA2321"/>
    <w:rsid w:val="00BA3E81"/>
    <w:rsid w:val="00BA4B8D"/>
    <w:rsid w:val="00BA54D2"/>
    <w:rsid w:val="00BA5602"/>
    <w:rsid w:val="00BA7539"/>
    <w:rsid w:val="00BA7D36"/>
    <w:rsid w:val="00BB005A"/>
    <w:rsid w:val="00BB294E"/>
    <w:rsid w:val="00BB3104"/>
    <w:rsid w:val="00BB46BE"/>
    <w:rsid w:val="00BB5CA8"/>
    <w:rsid w:val="00BC016D"/>
    <w:rsid w:val="00BC0F7D"/>
    <w:rsid w:val="00BC1C96"/>
    <w:rsid w:val="00BC2416"/>
    <w:rsid w:val="00BC2ACB"/>
    <w:rsid w:val="00BC45BD"/>
    <w:rsid w:val="00BC6243"/>
    <w:rsid w:val="00BC72C4"/>
    <w:rsid w:val="00BC772A"/>
    <w:rsid w:val="00BD5626"/>
    <w:rsid w:val="00BD7D31"/>
    <w:rsid w:val="00BE1F6F"/>
    <w:rsid w:val="00BE3255"/>
    <w:rsid w:val="00BE723B"/>
    <w:rsid w:val="00BF062D"/>
    <w:rsid w:val="00BF128E"/>
    <w:rsid w:val="00BF3884"/>
    <w:rsid w:val="00BF7AC5"/>
    <w:rsid w:val="00C00898"/>
    <w:rsid w:val="00C00DFE"/>
    <w:rsid w:val="00C01248"/>
    <w:rsid w:val="00C014DC"/>
    <w:rsid w:val="00C074DD"/>
    <w:rsid w:val="00C07DF8"/>
    <w:rsid w:val="00C07F68"/>
    <w:rsid w:val="00C13A2E"/>
    <w:rsid w:val="00C1496A"/>
    <w:rsid w:val="00C213B3"/>
    <w:rsid w:val="00C22748"/>
    <w:rsid w:val="00C24E54"/>
    <w:rsid w:val="00C276B8"/>
    <w:rsid w:val="00C3048C"/>
    <w:rsid w:val="00C321E6"/>
    <w:rsid w:val="00C33079"/>
    <w:rsid w:val="00C358BB"/>
    <w:rsid w:val="00C40C0F"/>
    <w:rsid w:val="00C45231"/>
    <w:rsid w:val="00C457CC"/>
    <w:rsid w:val="00C46785"/>
    <w:rsid w:val="00C551FF"/>
    <w:rsid w:val="00C5523F"/>
    <w:rsid w:val="00C57E7C"/>
    <w:rsid w:val="00C57E96"/>
    <w:rsid w:val="00C610E3"/>
    <w:rsid w:val="00C61702"/>
    <w:rsid w:val="00C63764"/>
    <w:rsid w:val="00C64AC3"/>
    <w:rsid w:val="00C64D69"/>
    <w:rsid w:val="00C661D7"/>
    <w:rsid w:val="00C66C6C"/>
    <w:rsid w:val="00C7200B"/>
    <w:rsid w:val="00C72833"/>
    <w:rsid w:val="00C73062"/>
    <w:rsid w:val="00C74662"/>
    <w:rsid w:val="00C74DB4"/>
    <w:rsid w:val="00C76673"/>
    <w:rsid w:val="00C7798B"/>
    <w:rsid w:val="00C80F1D"/>
    <w:rsid w:val="00C84E96"/>
    <w:rsid w:val="00C86249"/>
    <w:rsid w:val="00C87318"/>
    <w:rsid w:val="00C87718"/>
    <w:rsid w:val="00C91962"/>
    <w:rsid w:val="00C9335B"/>
    <w:rsid w:val="00C93F40"/>
    <w:rsid w:val="00C961F6"/>
    <w:rsid w:val="00C9759D"/>
    <w:rsid w:val="00C97C4C"/>
    <w:rsid w:val="00CA3D0C"/>
    <w:rsid w:val="00CB2443"/>
    <w:rsid w:val="00CB300A"/>
    <w:rsid w:val="00CB492A"/>
    <w:rsid w:val="00CB517A"/>
    <w:rsid w:val="00CB5E17"/>
    <w:rsid w:val="00CB6612"/>
    <w:rsid w:val="00CB6EFC"/>
    <w:rsid w:val="00CC2506"/>
    <w:rsid w:val="00CC2C24"/>
    <w:rsid w:val="00CC316E"/>
    <w:rsid w:val="00CC4053"/>
    <w:rsid w:val="00CC4159"/>
    <w:rsid w:val="00CC42E1"/>
    <w:rsid w:val="00CC4A35"/>
    <w:rsid w:val="00CC53BE"/>
    <w:rsid w:val="00CC78CB"/>
    <w:rsid w:val="00CD2A5D"/>
    <w:rsid w:val="00CD3524"/>
    <w:rsid w:val="00CD5E1B"/>
    <w:rsid w:val="00CD6D15"/>
    <w:rsid w:val="00CE741C"/>
    <w:rsid w:val="00CE790D"/>
    <w:rsid w:val="00CE7FE0"/>
    <w:rsid w:val="00CF0594"/>
    <w:rsid w:val="00CF192E"/>
    <w:rsid w:val="00CF1B6B"/>
    <w:rsid w:val="00CF3ACB"/>
    <w:rsid w:val="00CF5DB3"/>
    <w:rsid w:val="00CF7FAD"/>
    <w:rsid w:val="00D00FBF"/>
    <w:rsid w:val="00D02178"/>
    <w:rsid w:val="00D04101"/>
    <w:rsid w:val="00D05F45"/>
    <w:rsid w:val="00D068A3"/>
    <w:rsid w:val="00D10F3F"/>
    <w:rsid w:val="00D115B5"/>
    <w:rsid w:val="00D13F2E"/>
    <w:rsid w:val="00D14735"/>
    <w:rsid w:val="00D15EA3"/>
    <w:rsid w:val="00D16344"/>
    <w:rsid w:val="00D170B0"/>
    <w:rsid w:val="00D1779A"/>
    <w:rsid w:val="00D2039F"/>
    <w:rsid w:val="00D22AED"/>
    <w:rsid w:val="00D24661"/>
    <w:rsid w:val="00D27828"/>
    <w:rsid w:val="00D30987"/>
    <w:rsid w:val="00D31261"/>
    <w:rsid w:val="00D32558"/>
    <w:rsid w:val="00D34B67"/>
    <w:rsid w:val="00D36138"/>
    <w:rsid w:val="00D37A76"/>
    <w:rsid w:val="00D41988"/>
    <w:rsid w:val="00D44090"/>
    <w:rsid w:val="00D471B3"/>
    <w:rsid w:val="00D54117"/>
    <w:rsid w:val="00D56F4F"/>
    <w:rsid w:val="00D57972"/>
    <w:rsid w:val="00D60370"/>
    <w:rsid w:val="00D635C8"/>
    <w:rsid w:val="00D675A9"/>
    <w:rsid w:val="00D727BE"/>
    <w:rsid w:val="00D72B74"/>
    <w:rsid w:val="00D738D6"/>
    <w:rsid w:val="00D74CC0"/>
    <w:rsid w:val="00D751B8"/>
    <w:rsid w:val="00D755EB"/>
    <w:rsid w:val="00D75B06"/>
    <w:rsid w:val="00D76048"/>
    <w:rsid w:val="00D76AF4"/>
    <w:rsid w:val="00D80570"/>
    <w:rsid w:val="00D81E1F"/>
    <w:rsid w:val="00D82E6F"/>
    <w:rsid w:val="00D834D2"/>
    <w:rsid w:val="00D87E00"/>
    <w:rsid w:val="00D90903"/>
    <w:rsid w:val="00D9134D"/>
    <w:rsid w:val="00D91553"/>
    <w:rsid w:val="00D935D1"/>
    <w:rsid w:val="00D93ACD"/>
    <w:rsid w:val="00D95696"/>
    <w:rsid w:val="00D95FB6"/>
    <w:rsid w:val="00DA2ABC"/>
    <w:rsid w:val="00DA6BD1"/>
    <w:rsid w:val="00DA7A03"/>
    <w:rsid w:val="00DB13E9"/>
    <w:rsid w:val="00DB1818"/>
    <w:rsid w:val="00DB1D58"/>
    <w:rsid w:val="00DB7133"/>
    <w:rsid w:val="00DC309B"/>
    <w:rsid w:val="00DC36E2"/>
    <w:rsid w:val="00DC4DA2"/>
    <w:rsid w:val="00DD13E6"/>
    <w:rsid w:val="00DD19D6"/>
    <w:rsid w:val="00DD26CB"/>
    <w:rsid w:val="00DD4C17"/>
    <w:rsid w:val="00DD74A5"/>
    <w:rsid w:val="00DE1938"/>
    <w:rsid w:val="00DE1E29"/>
    <w:rsid w:val="00DE237E"/>
    <w:rsid w:val="00DE53C8"/>
    <w:rsid w:val="00DE5DF6"/>
    <w:rsid w:val="00DF008D"/>
    <w:rsid w:val="00DF0AF7"/>
    <w:rsid w:val="00DF2B1F"/>
    <w:rsid w:val="00DF62B3"/>
    <w:rsid w:val="00DF62CD"/>
    <w:rsid w:val="00E03693"/>
    <w:rsid w:val="00E122FE"/>
    <w:rsid w:val="00E16509"/>
    <w:rsid w:val="00E2048A"/>
    <w:rsid w:val="00E20B77"/>
    <w:rsid w:val="00E223BC"/>
    <w:rsid w:val="00E235EF"/>
    <w:rsid w:val="00E309FE"/>
    <w:rsid w:val="00E31CD6"/>
    <w:rsid w:val="00E3236A"/>
    <w:rsid w:val="00E33423"/>
    <w:rsid w:val="00E36749"/>
    <w:rsid w:val="00E40B49"/>
    <w:rsid w:val="00E426FB"/>
    <w:rsid w:val="00E43B41"/>
    <w:rsid w:val="00E43F3C"/>
    <w:rsid w:val="00E44582"/>
    <w:rsid w:val="00E4605F"/>
    <w:rsid w:val="00E46E0F"/>
    <w:rsid w:val="00E479D5"/>
    <w:rsid w:val="00E51313"/>
    <w:rsid w:val="00E53445"/>
    <w:rsid w:val="00E61D35"/>
    <w:rsid w:val="00E63A81"/>
    <w:rsid w:val="00E71AB7"/>
    <w:rsid w:val="00E73303"/>
    <w:rsid w:val="00E76DC2"/>
    <w:rsid w:val="00E77645"/>
    <w:rsid w:val="00E806AE"/>
    <w:rsid w:val="00E81BCE"/>
    <w:rsid w:val="00E842F5"/>
    <w:rsid w:val="00E844A9"/>
    <w:rsid w:val="00E915D1"/>
    <w:rsid w:val="00E927AE"/>
    <w:rsid w:val="00E932B1"/>
    <w:rsid w:val="00E93BEE"/>
    <w:rsid w:val="00E94809"/>
    <w:rsid w:val="00E96635"/>
    <w:rsid w:val="00EA0A50"/>
    <w:rsid w:val="00EA15B0"/>
    <w:rsid w:val="00EA2B28"/>
    <w:rsid w:val="00EA5EA7"/>
    <w:rsid w:val="00EB087D"/>
    <w:rsid w:val="00EB6265"/>
    <w:rsid w:val="00EC2372"/>
    <w:rsid w:val="00EC3EA4"/>
    <w:rsid w:val="00EC48EC"/>
    <w:rsid w:val="00EC4A25"/>
    <w:rsid w:val="00EC5D74"/>
    <w:rsid w:val="00EE144C"/>
    <w:rsid w:val="00EE3959"/>
    <w:rsid w:val="00EE4F4D"/>
    <w:rsid w:val="00EF1131"/>
    <w:rsid w:val="00EF1295"/>
    <w:rsid w:val="00EF31B0"/>
    <w:rsid w:val="00EF51CA"/>
    <w:rsid w:val="00EF608C"/>
    <w:rsid w:val="00F00933"/>
    <w:rsid w:val="00F01457"/>
    <w:rsid w:val="00F025A2"/>
    <w:rsid w:val="00F02D1F"/>
    <w:rsid w:val="00F04712"/>
    <w:rsid w:val="00F05C6D"/>
    <w:rsid w:val="00F064FA"/>
    <w:rsid w:val="00F10387"/>
    <w:rsid w:val="00F13360"/>
    <w:rsid w:val="00F20E87"/>
    <w:rsid w:val="00F22EC7"/>
    <w:rsid w:val="00F23E3E"/>
    <w:rsid w:val="00F243B8"/>
    <w:rsid w:val="00F30924"/>
    <w:rsid w:val="00F3176E"/>
    <w:rsid w:val="00F324CC"/>
    <w:rsid w:val="00F325C8"/>
    <w:rsid w:val="00F3388D"/>
    <w:rsid w:val="00F33CFD"/>
    <w:rsid w:val="00F34A1C"/>
    <w:rsid w:val="00F367DC"/>
    <w:rsid w:val="00F37F88"/>
    <w:rsid w:val="00F41756"/>
    <w:rsid w:val="00F43188"/>
    <w:rsid w:val="00F45510"/>
    <w:rsid w:val="00F45A48"/>
    <w:rsid w:val="00F462ED"/>
    <w:rsid w:val="00F474C9"/>
    <w:rsid w:val="00F5033D"/>
    <w:rsid w:val="00F5350F"/>
    <w:rsid w:val="00F54A0D"/>
    <w:rsid w:val="00F5607B"/>
    <w:rsid w:val="00F653B8"/>
    <w:rsid w:val="00F675B1"/>
    <w:rsid w:val="00F676D1"/>
    <w:rsid w:val="00F71133"/>
    <w:rsid w:val="00F77867"/>
    <w:rsid w:val="00F80030"/>
    <w:rsid w:val="00F81645"/>
    <w:rsid w:val="00F82A77"/>
    <w:rsid w:val="00F861DC"/>
    <w:rsid w:val="00F865DC"/>
    <w:rsid w:val="00F86AFB"/>
    <w:rsid w:val="00F876D4"/>
    <w:rsid w:val="00F9008D"/>
    <w:rsid w:val="00F91247"/>
    <w:rsid w:val="00F93BAC"/>
    <w:rsid w:val="00F96472"/>
    <w:rsid w:val="00F96A55"/>
    <w:rsid w:val="00F977B4"/>
    <w:rsid w:val="00FA1266"/>
    <w:rsid w:val="00FA2D9F"/>
    <w:rsid w:val="00FA4BEB"/>
    <w:rsid w:val="00FA68CA"/>
    <w:rsid w:val="00FA694D"/>
    <w:rsid w:val="00FA7A37"/>
    <w:rsid w:val="00FB24F3"/>
    <w:rsid w:val="00FB506B"/>
    <w:rsid w:val="00FC1192"/>
    <w:rsid w:val="00FC2447"/>
    <w:rsid w:val="00FC4838"/>
    <w:rsid w:val="00FC491C"/>
    <w:rsid w:val="00FC5389"/>
    <w:rsid w:val="00FC6186"/>
    <w:rsid w:val="00FD19A9"/>
    <w:rsid w:val="00FD2AB9"/>
    <w:rsid w:val="00FD3FB7"/>
    <w:rsid w:val="00FD54DC"/>
    <w:rsid w:val="00FD7800"/>
    <w:rsid w:val="00FE3E4A"/>
    <w:rsid w:val="00FE6C14"/>
    <w:rsid w:val="00FE6CCF"/>
    <w:rsid w:val="00FE7B53"/>
    <w:rsid w:val="00FE7BA1"/>
    <w:rsid w:val="00FF2960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1FA85F67-F07F-4A1D-961E-0B61BEA2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Qian Chen XB</DisplayName>
        <AccountId>111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1664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Ericsson</cp:lastModifiedBy>
  <cp:revision>809</cp:revision>
  <cp:lastPrinted>2019-02-26T08:05:00Z</cp:lastPrinted>
  <dcterms:created xsi:type="dcterms:W3CDTF">2022-08-03T19:30:00Z</dcterms:created>
  <dcterms:modified xsi:type="dcterms:W3CDTF">2023-04-07T07:56:00Z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